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02B7" w:rsidRDefault="00D002B7" w:rsidP="00D002B7">
      <w:pPr>
        <w:tabs>
          <w:tab w:val="left" w:pos="1425"/>
        </w:tabs>
        <w:spacing w:line="360" w:lineRule="auto"/>
        <w:jc w:val="center"/>
        <w:rPr>
          <w:rFonts w:eastAsia="Times New Roman"/>
        </w:rPr>
      </w:pPr>
    </w:p>
    <w:p w:rsidR="00D002B7" w:rsidRDefault="00A11340" w:rsidP="00A11340">
      <w:pPr>
        <w:spacing w:line="360" w:lineRule="auto"/>
        <w:jc w:val="center"/>
      </w:pPr>
      <w:r>
        <w:rPr>
          <w:noProof/>
        </w:rPr>
        <w:drawing>
          <wp:inline distT="0" distB="0" distL="0" distR="0">
            <wp:extent cx="866775" cy="876300"/>
            <wp:effectExtent l="19050" t="0" r="9525" b="0"/>
            <wp:docPr id="6" name="Picture 1" descr="最新黑白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最新黑白徽标"/>
                    <pic:cNvPicPr>
                      <a:picLocks noChangeAspect="1" noChangeArrowheads="1"/>
                    </pic:cNvPicPr>
                  </pic:nvPicPr>
                  <pic:blipFill>
                    <a:blip r:embed="rId8" cstate="print">
                      <a:lum bright="6000"/>
                    </a:blip>
                    <a:srcRect/>
                    <a:stretch>
                      <a:fillRect/>
                    </a:stretch>
                  </pic:blipFill>
                  <pic:spPr bwMode="auto">
                    <a:xfrm>
                      <a:off x="0" y="0"/>
                      <a:ext cx="866775" cy="876300"/>
                    </a:xfrm>
                    <a:prstGeom prst="rect">
                      <a:avLst/>
                    </a:prstGeom>
                    <a:noFill/>
                    <a:ln w="9525">
                      <a:noFill/>
                      <a:miter lim="800000"/>
                      <a:headEnd/>
                      <a:tailEnd/>
                    </a:ln>
                  </pic:spPr>
                </pic:pic>
              </a:graphicData>
            </a:graphic>
          </wp:inline>
        </w:drawing>
      </w:r>
    </w:p>
    <w:p w:rsidR="00D002B7" w:rsidRDefault="00D002B7" w:rsidP="00D002B7">
      <w:pPr>
        <w:spacing w:line="360" w:lineRule="auto"/>
        <w:jc w:val="center"/>
        <w:rPr>
          <w:rFonts w:eastAsia="Times New Roman"/>
        </w:rPr>
      </w:pPr>
      <w:r>
        <w:rPr>
          <w:rFonts w:eastAsia="Times New Roman"/>
          <w:noProof/>
        </w:rPr>
        <w:drawing>
          <wp:inline distT="0" distB="0" distL="0" distR="0">
            <wp:extent cx="2742937" cy="538791"/>
            <wp:effectExtent l="19050" t="0" r="263" b="0"/>
            <wp:docPr id="3" name="图片 4" descr="说明: 新校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说明: 新校名"/>
                    <pic:cNvPicPr>
                      <a:picLocks noChangeAspect="1" noChangeArrowheads="1"/>
                    </pic:cNvPicPr>
                  </pic:nvPicPr>
                  <pic:blipFill>
                    <a:blip r:embed="rId9" cstate="print"/>
                    <a:srcRect/>
                    <a:stretch>
                      <a:fillRect/>
                    </a:stretch>
                  </pic:blipFill>
                  <pic:spPr bwMode="auto">
                    <a:xfrm>
                      <a:off x="0" y="0"/>
                      <a:ext cx="2746414" cy="539474"/>
                    </a:xfrm>
                    <a:prstGeom prst="rect">
                      <a:avLst/>
                    </a:prstGeom>
                    <a:noFill/>
                    <a:ln w="9525">
                      <a:noFill/>
                      <a:miter lim="800000"/>
                      <a:headEnd/>
                      <a:tailEnd/>
                    </a:ln>
                  </pic:spPr>
                </pic:pic>
              </a:graphicData>
            </a:graphic>
          </wp:inline>
        </w:drawing>
      </w:r>
    </w:p>
    <w:p w:rsidR="00D002B7" w:rsidRDefault="00D002B7" w:rsidP="00D002B7">
      <w:pPr>
        <w:spacing w:line="360" w:lineRule="auto"/>
        <w:jc w:val="center"/>
        <w:rPr>
          <w:rFonts w:eastAsia="Times New Roman"/>
        </w:rPr>
      </w:pPr>
    </w:p>
    <w:p w:rsidR="00D002B7" w:rsidRPr="00D002B7" w:rsidRDefault="00D002B7" w:rsidP="00575B45">
      <w:pPr>
        <w:spacing w:beforeLines="50" w:line="360" w:lineRule="auto"/>
        <w:jc w:val="center"/>
        <w:rPr>
          <w:rFonts w:ascii="华文中宋" w:eastAsia="华文中宋" w:hAnsi="华文中宋"/>
          <w:b/>
          <w:sz w:val="56"/>
        </w:rPr>
      </w:pPr>
      <w:r w:rsidRPr="00D002B7">
        <w:rPr>
          <w:rFonts w:ascii="华文中宋" w:eastAsia="华文中宋" w:hAnsi="华文中宋" w:hint="eastAsia"/>
          <w:b/>
          <w:sz w:val="56"/>
        </w:rPr>
        <w:t>工商管理硕士</w:t>
      </w:r>
      <w:r w:rsidR="00A15ACC" w:rsidRPr="00A15ACC">
        <w:rPr>
          <w:rFonts w:ascii="Times New Roman" w:eastAsia="华文中宋" w:hAnsi="Times New Roman" w:cs="Times New Roman"/>
          <w:b/>
          <w:sz w:val="56"/>
        </w:rPr>
        <w:t>(</w:t>
      </w:r>
      <w:r w:rsidRPr="00A15ACC">
        <w:rPr>
          <w:rFonts w:ascii="Times New Roman" w:eastAsia="华文中宋" w:hAnsi="Times New Roman" w:cs="Times New Roman"/>
          <w:b/>
          <w:sz w:val="56"/>
        </w:rPr>
        <w:t>MBA</w:t>
      </w:r>
      <w:r w:rsidR="00A15ACC" w:rsidRPr="00A15ACC">
        <w:rPr>
          <w:rFonts w:ascii="Times New Roman" w:eastAsia="华文中宋" w:hAnsi="Times New Roman" w:cs="Times New Roman"/>
          <w:b/>
          <w:sz w:val="56"/>
        </w:rPr>
        <w:t>)</w:t>
      </w:r>
      <w:r w:rsidRPr="00D002B7">
        <w:rPr>
          <w:rFonts w:ascii="华文中宋" w:eastAsia="华文中宋" w:hAnsi="华文中宋" w:hint="eastAsia"/>
          <w:b/>
          <w:sz w:val="56"/>
        </w:rPr>
        <w:t>实践报告</w:t>
      </w:r>
    </w:p>
    <w:p w:rsidR="00D002B7" w:rsidRDefault="00D002B7" w:rsidP="00D002B7">
      <w:pPr>
        <w:spacing w:line="360" w:lineRule="auto"/>
        <w:jc w:val="center"/>
        <w:rPr>
          <w:rFonts w:eastAsia="黑体"/>
          <w:sz w:val="36"/>
        </w:rPr>
      </w:pPr>
    </w:p>
    <w:p w:rsidR="00D002B7" w:rsidRPr="001B0DE4" w:rsidRDefault="00BE2604" w:rsidP="00D002B7">
      <w:pPr>
        <w:jc w:val="center"/>
        <w:rPr>
          <w:rFonts w:eastAsia="楷体_GB2312"/>
          <w:b/>
          <w:sz w:val="32"/>
        </w:rPr>
      </w:pPr>
      <w:r w:rsidRPr="009774C6">
        <w:rPr>
          <w:rFonts w:ascii="黑体" w:eastAsia="黑体" w:hAnsi="黑体" w:hint="eastAsia"/>
          <w:sz w:val="36"/>
          <w:szCs w:val="36"/>
        </w:rPr>
        <w:t>江苏</w:t>
      </w:r>
      <w:r w:rsidR="00CC2BF8">
        <w:rPr>
          <w:rFonts w:ascii="黑体" w:eastAsia="黑体" w:hAnsi="黑体" w:hint="eastAsia"/>
          <w:sz w:val="36"/>
          <w:szCs w:val="36"/>
        </w:rPr>
        <w:t>xx</w:t>
      </w:r>
      <w:r w:rsidRPr="009774C6">
        <w:rPr>
          <w:rFonts w:ascii="黑体" w:eastAsia="黑体" w:hAnsi="黑体" w:hint="eastAsia"/>
          <w:sz w:val="36"/>
          <w:szCs w:val="36"/>
        </w:rPr>
        <w:t>农村商业银行</w:t>
      </w:r>
      <w:r>
        <w:rPr>
          <w:rFonts w:ascii="黑体" w:eastAsia="黑体" w:hAnsi="黑体" w:hint="eastAsia"/>
          <w:sz w:val="36"/>
          <w:szCs w:val="36"/>
        </w:rPr>
        <w:t>实践报告</w:t>
      </w:r>
    </w:p>
    <w:p w:rsidR="00D002B7" w:rsidRDefault="00D002B7" w:rsidP="00D002B7">
      <w:pPr>
        <w:jc w:val="center"/>
      </w:pPr>
    </w:p>
    <w:p w:rsidR="00D002B7" w:rsidRDefault="00D002B7" w:rsidP="00D002B7">
      <w:pPr>
        <w:jc w:val="center"/>
      </w:pPr>
    </w:p>
    <w:p w:rsidR="00E975D8" w:rsidRPr="00D002B7" w:rsidRDefault="00E975D8" w:rsidP="00D002B7">
      <w:pPr>
        <w:jc w:val="center"/>
      </w:pPr>
    </w:p>
    <w:p w:rsidR="00D002B7" w:rsidRDefault="00D002B7" w:rsidP="00D002B7">
      <w:pPr>
        <w:jc w:val="center"/>
      </w:pPr>
    </w:p>
    <w:p w:rsidR="009E4CBD" w:rsidRDefault="009E4CBD" w:rsidP="00D002B7">
      <w:pPr>
        <w:jc w:val="center"/>
      </w:pPr>
    </w:p>
    <w:p w:rsidR="009E4CBD" w:rsidRDefault="009E4CBD" w:rsidP="00D002B7">
      <w:pPr>
        <w:jc w:val="center"/>
      </w:pPr>
    </w:p>
    <w:p w:rsidR="00D06553" w:rsidRPr="00D06553" w:rsidRDefault="00D06553" w:rsidP="00D002B7">
      <w:pPr>
        <w:jc w:val="center"/>
      </w:pPr>
    </w:p>
    <w:p w:rsidR="00D002B7" w:rsidRDefault="00D002B7" w:rsidP="00D002B7">
      <w:pPr>
        <w:jc w:val="center"/>
        <w:rPr>
          <w:rFonts w:eastAsia="Times New Roman"/>
        </w:rPr>
      </w:pPr>
    </w:p>
    <w:p w:rsidR="00E46918" w:rsidRPr="00D002B7" w:rsidRDefault="00E46918" w:rsidP="00575B45">
      <w:pPr>
        <w:widowControl/>
        <w:shd w:val="clear" w:color="auto" w:fill="FEFDF9"/>
        <w:spacing w:beforeLines="50" w:afterLines="50" w:line="480" w:lineRule="auto"/>
        <w:ind w:leftChars="700" w:left="1470" w:firstLineChars="100" w:firstLine="360"/>
        <w:jc w:val="left"/>
        <w:rPr>
          <w:rFonts w:ascii="微软雅黑" w:eastAsia="微软雅黑" w:hAnsi="微软雅黑" w:cs="宋体"/>
          <w:color w:val="000000" w:themeColor="text1"/>
          <w:kern w:val="0"/>
          <w:sz w:val="36"/>
          <w:szCs w:val="44"/>
          <w:u w:val="single"/>
        </w:rPr>
      </w:pPr>
      <w:r w:rsidRPr="00D002B7">
        <w:rPr>
          <w:rFonts w:ascii="微软雅黑" w:eastAsia="微软雅黑" w:hAnsi="微软雅黑" w:cs="宋体" w:hint="eastAsia"/>
          <w:color w:val="000000" w:themeColor="text1"/>
          <w:kern w:val="0"/>
          <w:sz w:val="36"/>
          <w:szCs w:val="44"/>
        </w:rPr>
        <w:t>姓    名：</w:t>
      </w:r>
      <w:r w:rsidR="004B6971">
        <w:rPr>
          <w:rFonts w:ascii="微软雅黑" w:eastAsia="微软雅黑" w:hAnsi="微软雅黑" w:cs="宋体" w:hint="eastAsia"/>
          <w:color w:val="000000" w:themeColor="text1"/>
          <w:kern w:val="0"/>
          <w:sz w:val="36"/>
          <w:szCs w:val="44"/>
          <w:u w:val="single"/>
        </w:rPr>
        <w:t xml:space="preserve">     </w:t>
      </w:r>
      <w:r w:rsidR="00CC2BF8">
        <w:rPr>
          <w:rFonts w:ascii="微软雅黑" w:eastAsia="微软雅黑" w:hAnsi="微软雅黑" w:cs="宋体" w:hint="eastAsia"/>
          <w:color w:val="000000" w:themeColor="text1"/>
          <w:kern w:val="0"/>
          <w:sz w:val="36"/>
          <w:szCs w:val="44"/>
          <w:u w:val="single"/>
        </w:rPr>
        <w:t>xxx</w:t>
      </w:r>
      <w:r w:rsidR="004B6971">
        <w:rPr>
          <w:rFonts w:ascii="微软雅黑" w:eastAsia="微软雅黑" w:hAnsi="微软雅黑" w:cs="宋体" w:hint="eastAsia"/>
          <w:color w:val="000000" w:themeColor="text1"/>
          <w:kern w:val="0"/>
          <w:sz w:val="36"/>
          <w:szCs w:val="44"/>
          <w:u w:val="single"/>
        </w:rPr>
        <w:t xml:space="preserve">    </w:t>
      </w:r>
    </w:p>
    <w:p w:rsidR="00E46918" w:rsidRPr="00D002B7" w:rsidRDefault="00E46918" w:rsidP="00575B45">
      <w:pPr>
        <w:widowControl/>
        <w:shd w:val="clear" w:color="auto" w:fill="FEFDF9"/>
        <w:spacing w:beforeLines="50" w:afterLines="50" w:line="480" w:lineRule="auto"/>
        <w:ind w:leftChars="700" w:left="1470" w:firstLineChars="100" w:firstLine="360"/>
        <w:jc w:val="left"/>
        <w:rPr>
          <w:rFonts w:ascii="微软雅黑" w:eastAsia="微软雅黑" w:hAnsi="微软雅黑" w:cs="宋体"/>
          <w:color w:val="000000" w:themeColor="text1"/>
          <w:kern w:val="0"/>
          <w:sz w:val="36"/>
          <w:szCs w:val="44"/>
        </w:rPr>
      </w:pPr>
      <w:r w:rsidRPr="00D002B7">
        <w:rPr>
          <w:rFonts w:ascii="微软雅黑" w:eastAsia="微软雅黑" w:hAnsi="微软雅黑" w:cs="宋体" w:hint="eastAsia"/>
          <w:color w:val="000000" w:themeColor="text1"/>
          <w:kern w:val="0"/>
          <w:sz w:val="36"/>
          <w:szCs w:val="44"/>
        </w:rPr>
        <w:t>学    号：</w:t>
      </w:r>
      <w:r w:rsidR="001B0DE4">
        <w:rPr>
          <w:rFonts w:ascii="微软雅黑" w:eastAsia="微软雅黑" w:hAnsi="微软雅黑" w:cs="宋体"/>
          <w:color w:val="000000" w:themeColor="text1"/>
          <w:kern w:val="0"/>
          <w:sz w:val="36"/>
          <w:szCs w:val="44"/>
          <w:u w:val="single"/>
        </w:rPr>
        <w:t>201</w:t>
      </w:r>
      <w:r w:rsidR="00CC2BF8">
        <w:rPr>
          <w:rFonts w:ascii="微软雅黑" w:eastAsia="微软雅黑" w:hAnsi="微软雅黑" w:cs="宋体" w:hint="eastAsia"/>
          <w:color w:val="000000" w:themeColor="text1"/>
          <w:kern w:val="0"/>
          <w:sz w:val="36"/>
          <w:szCs w:val="44"/>
          <w:u w:val="single"/>
        </w:rPr>
        <w:t>x</w:t>
      </w:r>
      <w:r w:rsidR="001B0DE4">
        <w:rPr>
          <w:rFonts w:ascii="微软雅黑" w:eastAsia="微软雅黑" w:hAnsi="微软雅黑" w:cs="宋体"/>
          <w:color w:val="000000" w:themeColor="text1"/>
          <w:kern w:val="0"/>
          <w:sz w:val="36"/>
          <w:szCs w:val="44"/>
          <w:u w:val="single"/>
        </w:rPr>
        <w:t>806</w:t>
      </w:r>
      <w:r w:rsidR="00CC2BF8">
        <w:rPr>
          <w:rFonts w:ascii="微软雅黑" w:eastAsia="微软雅黑" w:hAnsi="微软雅黑" w:cs="宋体" w:hint="eastAsia"/>
          <w:color w:val="000000" w:themeColor="text1"/>
          <w:kern w:val="0"/>
          <w:sz w:val="36"/>
          <w:szCs w:val="44"/>
          <w:u w:val="single"/>
        </w:rPr>
        <w:t>xxx</w:t>
      </w:r>
    </w:p>
    <w:p w:rsidR="00DC2163" w:rsidRDefault="00DC2163" w:rsidP="00575B45">
      <w:pPr>
        <w:widowControl/>
        <w:shd w:val="clear" w:color="auto" w:fill="FEFDF9"/>
        <w:spacing w:beforeLines="50" w:afterLines="50" w:line="480" w:lineRule="auto"/>
        <w:ind w:leftChars="700" w:left="1470" w:firstLineChars="100" w:firstLine="360"/>
        <w:jc w:val="left"/>
        <w:rPr>
          <w:rFonts w:ascii="微软雅黑" w:eastAsia="微软雅黑" w:hAnsi="微软雅黑" w:cs="宋体"/>
          <w:color w:val="000000" w:themeColor="text1"/>
          <w:kern w:val="0"/>
          <w:sz w:val="36"/>
          <w:szCs w:val="44"/>
        </w:rPr>
      </w:pPr>
    </w:p>
    <w:p w:rsidR="00D002B7" w:rsidRDefault="00D002B7" w:rsidP="00575B45">
      <w:pPr>
        <w:widowControl/>
        <w:shd w:val="clear" w:color="auto" w:fill="FEFDF9"/>
        <w:spacing w:beforeLines="100" w:line="480" w:lineRule="exact"/>
        <w:rPr>
          <w:rFonts w:ascii="微软雅黑" w:eastAsia="微软雅黑" w:hAnsi="微软雅黑" w:cs="宋体"/>
          <w:color w:val="800000"/>
          <w:kern w:val="0"/>
          <w:sz w:val="40"/>
          <w:szCs w:val="44"/>
        </w:rPr>
      </w:pPr>
    </w:p>
    <w:p w:rsidR="00E46918" w:rsidRPr="00D002B7" w:rsidRDefault="00E46918" w:rsidP="00575B45">
      <w:pPr>
        <w:widowControl/>
        <w:shd w:val="clear" w:color="auto" w:fill="FEFDF9"/>
        <w:spacing w:beforeLines="100" w:line="480" w:lineRule="exact"/>
        <w:jc w:val="center"/>
        <w:rPr>
          <w:rFonts w:ascii="微软雅黑" w:eastAsia="微软雅黑" w:hAnsi="微软雅黑" w:cs="宋体"/>
          <w:color w:val="000000" w:themeColor="text1"/>
          <w:kern w:val="0"/>
          <w:sz w:val="32"/>
          <w:szCs w:val="44"/>
        </w:rPr>
      </w:pPr>
      <w:r w:rsidRPr="00D002B7">
        <w:rPr>
          <w:rFonts w:ascii="微软雅黑" w:eastAsia="微软雅黑" w:hAnsi="微软雅黑" w:cs="宋体" w:hint="eastAsia"/>
          <w:color w:val="000000" w:themeColor="text1"/>
          <w:kern w:val="0"/>
          <w:sz w:val="32"/>
          <w:szCs w:val="44"/>
        </w:rPr>
        <w:t>二</w:t>
      </w:r>
      <w:r w:rsidRPr="00D002B7">
        <w:rPr>
          <w:rFonts w:ascii="宋体" w:hAnsi="宋体" w:cs="宋体" w:hint="eastAsia"/>
          <w:color w:val="000000" w:themeColor="text1"/>
          <w:kern w:val="0"/>
          <w:sz w:val="52"/>
          <w:szCs w:val="44"/>
        </w:rPr>
        <w:t>o</w:t>
      </w:r>
      <w:r w:rsidRPr="00D002B7">
        <w:rPr>
          <w:rFonts w:ascii="微软雅黑" w:eastAsia="微软雅黑" w:hAnsi="微软雅黑" w:cs="宋体" w:hint="eastAsia"/>
          <w:color w:val="000000" w:themeColor="text1"/>
          <w:kern w:val="0"/>
          <w:sz w:val="32"/>
          <w:szCs w:val="44"/>
        </w:rPr>
        <w:t>一</w:t>
      </w:r>
      <w:r w:rsidR="003A3625">
        <w:rPr>
          <w:rFonts w:ascii="微软雅黑" w:eastAsia="微软雅黑" w:hAnsi="微软雅黑" w:cs="宋体" w:hint="eastAsia"/>
          <w:color w:val="000000" w:themeColor="text1"/>
          <w:kern w:val="0"/>
          <w:sz w:val="32"/>
          <w:szCs w:val="44"/>
        </w:rPr>
        <w:t>八</w:t>
      </w:r>
      <w:r w:rsidRPr="00D002B7">
        <w:rPr>
          <w:rFonts w:ascii="微软雅黑" w:eastAsia="微软雅黑" w:hAnsi="微软雅黑" w:cs="宋体" w:hint="eastAsia"/>
          <w:color w:val="000000" w:themeColor="text1"/>
          <w:spacing w:val="34"/>
          <w:kern w:val="0"/>
          <w:sz w:val="32"/>
          <w:szCs w:val="44"/>
        </w:rPr>
        <w:t xml:space="preserve">年 </w:t>
      </w:r>
      <w:r w:rsidR="00DC2163">
        <w:rPr>
          <w:rFonts w:ascii="微软雅黑" w:eastAsia="微软雅黑" w:hAnsi="微软雅黑" w:cs="宋体" w:hint="eastAsia"/>
          <w:color w:val="000000" w:themeColor="text1"/>
          <w:spacing w:val="34"/>
          <w:kern w:val="0"/>
          <w:sz w:val="32"/>
          <w:szCs w:val="44"/>
        </w:rPr>
        <w:t>四</w:t>
      </w:r>
      <w:r w:rsidRPr="00D002B7">
        <w:rPr>
          <w:rFonts w:ascii="微软雅黑" w:eastAsia="微软雅黑" w:hAnsi="微软雅黑" w:cs="宋体" w:hint="eastAsia"/>
          <w:color w:val="000000" w:themeColor="text1"/>
          <w:spacing w:val="34"/>
          <w:kern w:val="0"/>
          <w:sz w:val="32"/>
          <w:szCs w:val="44"/>
        </w:rPr>
        <w:t xml:space="preserve"> 月</w:t>
      </w:r>
    </w:p>
    <w:p w:rsidR="00BC2A1E" w:rsidRDefault="00BC2A1E" w:rsidP="00575B45">
      <w:pPr>
        <w:widowControl/>
        <w:spacing w:beforeLines="100"/>
        <w:rPr>
          <w:rFonts w:ascii="Tahoma" w:hAnsi="Tahoma" w:cs="Tahoma"/>
          <w:b/>
          <w:bCs/>
          <w:sz w:val="30"/>
          <w:szCs w:val="30"/>
        </w:rPr>
      </w:pPr>
    </w:p>
    <w:p w:rsidR="00BC2A1E" w:rsidRDefault="00BC2A1E" w:rsidP="00575B45">
      <w:pPr>
        <w:pStyle w:val="reader-word-layer"/>
        <w:shd w:val="clear" w:color="auto" w:fill="FFFFFF"/>
        <w:spacing w:beforeLines="50" w:beforeAutospacing="0" w:afterLines="50" w:afterAutospacing="0"/>
        <w:ind w:firstLineChars="200" w:firstLine="482"/>
        <w:outlineLvl w:val="0"/>
        <w:rPr>
          <w:rFonts w:asciiTheme="minorEastAsia" w:eastAsiaTheme="minorEastAsia" w:hAnsiTheme="minorEastAsia"/>
          <w:b/>
          <w:bCs/>
          <w:color w:val="000000"/>
        </w:rPr>
      </w:pPr>
    </w:p>
    <w:p w:rsidR="00DC2163" w:rsidRDefault="00E975D8" w:rsidP="00DC2163">
      <w:pPr>
        <w:snapToGrid w:val="0"/>
        <w:jc w:val="center"/>
        <w:rPr>
          <w:rFonts w:ascii="楷体" w:eastAsia="楷体" w:hAnsi="楷体" w:cs="Tahoma"/>
          <w:b/>
          <w:bCs/>
          <w:sz w:val="30"/>
          <w:szCs w:val="30"/>
        </w:rPr>
      </w:pPr>
      <w:r w:rsidRPr="009774C6">
        <w:rPr>
          <w:rFonts w:ascii="黑体" w:eastAsia="黑体" w:hAnsi="黑体" w:hint="eastAsia"/>
          <w:sz w:val="36"/>
          <w:szCs w:val="36"/>
        </w:rPr>
        <w:lastRenderedPageBreak/>
        <w:t>江苏</w:t>
      </w:r>
      <w:r w:rsidR="00CC2BF8">
        <w:rPr>
          <w:rFonts w:ascii="黑体" w:eastAsia="黑体" w:hAnsi="黑体" w:hint="eastAsia"/>
          <w:sz w:val="36"/>
          <w:szCs w:val="36"/>
        </w:rPr>
        <w:t>xx</w:t>
      </w:r>
      <w:r w:rsidRPr="009774C6">
        <w:rPr>
          <w:rFonts w:ascii="黑体" w:eastAsia="黑体" w:hAnsi="黑体" w:hint="eastAsia"/>
          <w:sz w:val="36"/>
          <w:szCs w:val="36"/>
        </w:rPr>
        <w:t>农村商业银行</w:t>
      </w:r>
      <w:r>
        <w:rPr>
          <w:rFonts w:ascii="黑体" w:eastAsia="黑体" w:hAnsi="黑体" w:hint="eastAsia"/>
          <w:sz w:val="36"/>
          <w:szCs w:val="36"/>
        </w:rPr>
        <w:t>实践报告</w:t>
      </w:r>
    </w:p>
    <w:p w:rsidR="003B4644" w:rsidRDefault="00180DDD" w:rsidP="006F7F98">
      <w:pPr>
        <w:snapToGrid w:val="0"/>
        <w:rPr>
          <w:rFonts w:ascii="楷体" w:eastAsia="楷体" w:hAnsi="楷体"/>
          <w:color w:val="000000"/>
          <w:sz w:val="24"/>
          <w:szCs w:val="24"/>
        </w:rPr>
      </w:pPr>
      <w:r>
        <w:rPr>
          <w:rFonts w:ascii="楷体" w:eastAsia="楷体" w:hAnsi="楷体" w:cs="Tahoma" w:hint="eastAsia"/>
          <w:b/>
          <w:bCs/>
          <w:sz w:val="30"/>
          <w:szCs w:val="30"/>
        </w:rPr>
        <w:t>[报告摘要]</w:t>
      </w:r>
      <w:r w:rsidR="003B4644" w:rsidRPr="003B4644">
        <w:rPr>
          <w:rFonts w:ascii="楷体" w:eastAsia="楷体" w:hAnsi="楷体" w:hint="eastAsia"/>
          <w:color w:val="000000"/>
          <w:sz w:val="24"/>
          <w:szCs w:val="24"/>
        </w:rPr>
        <w:t>银行业是高风险的行业，其风险主要在于贷款信用风险</w:t>
      </w:r>
      <w:r w:rsidR="003B4644">
        <w:rPr>
          <w:rFonts w:ascii="楷体" w:eastAsia="楷体" w:hAnsi="楷体" w:hint="eastAsia"/>
          <w:color w:val="000000"/>
          <w:sz w:val="24"/>
          <w:szCs w:val="24"/>
        </w:rPr>
        <w:t>，</w:t>
      </w:r>
      <w:r w:rsidR="003B4644" w:rsidRPr="003B4644">
        <w:rPr>
          <w:rFonts w:ascii="楷体" w:eastAsia="楷体" w:hAnsi="楷体" w:hint="eastAsia"/>
          <w:color w:val="000000"/>
          <w:sz w:val="24"/>
          <w:szCs w:val="24"/>
        </w:rPr>
        <w:t>是破坏银行体系正常健康运转的隐患，若管理不当或不及时，很可能使银行体系极</w:t>
      </w:r>
      <w:r w:rsidR="003B4644">
        <w:rPr>
          <w:rFonts w:ascii="楷体" w:eastAsia="楷体" w:hAnsi="楷体" w:hint="eastAsia"/>
          <w:color w:val="000000"/>
          <w:sz w:val="24"/>
          <w:szCs w:val="24"/>
        </w:rPr>
        <w:t>度脆弱，风险有效覆盖率较低，应对风险能力较差，银行效益日益下降</w:t>
      </w:r>
      <w:r w:rsidR="006F7F98" w:rsidRPr="006F7F98">
        <w:rPr>
          <w:rFonts w:ascii="楷体" w:eastAsia="楷体" w:hAnsi="楷体" w:hint="eastAsia"/>
          <w:color w:val="000000"/>
          <w:sz w:val="24"/>
          <w:szCs w:val="24"/>
        </w:rPr>
        <w:t>。</w:t>
      </w:r>
      <w:r w:rsidR="003B4644">
        <w:rPr>
          <w:rFonts w:ascii="楷体" w:eastAsia="楷体" w:hAnsi="楷体" w:hint="eastAsia"/>
          <w:color w:val="000000"/>
          <w:sz w:val="24"/>
          <w:szCs w:val="24"/>
        </w:rPr>
        <w:t>报告</w:t>
      </w:r>
      <w:r w:rsidR="003B4644" w:rsidRPr="003B4644">
        <w:rPr>
          <w:rFonts w:ascii="楷体" w:eastAsia="楷体" w:hAnsi="楷体" w:hint="eastAsia"/>
          <w:color w:val="000000"/>
          <w:sz w:val="24"/>
          <w:szCs w:val="24"/>
        </w:rPr>
        <w:t>通过对泰兴农村商业银行经营状况的财务分析和贷款信用风险的深入分析，概括出泰兴农村商业银行的发展现状及信贷风险管理中仍存在的问题</w:t>
      </w:r>
      <w:r w:rsidR="003B4644">
        <w:rPr>
          <w:rFonts w:ascii="楷体" w:eastAsia="楷体" w:hAnsi="楷体" w:hint="eastAsia"/>
          <w:color w:val="000000"/>
          <w:sz w:val="24"/>
          <w:szCs w:val="24"/>
        </w:rPr>
        <w:t>。</w:t>
      </w:r>
    </w:p>
    <w:p w:rsidR="00DD1290" w:rsidRPr="006F7F98" w:rsidRDefault="003B4644" w:rsidP="003B4644">
      <w:pPr>
        <w:snapToGrid w:val="0"/>
        <w:ind w:firstLineChars="200" w:firstLine="480"/>
        <w:rPr>
          <w:rFonts w:ascii="楷体" w:eastAsia="楷体" w:hAnsi="楷体"/>
          <w:color w:val="000000"/>
          <w:sz w:val="24"/>
          <w:szCs w:val="24"/>
        </w:rPr>
      </w:pPr>
      <w:r>
        <w:rPr>
          <w:rFonts w:ascii="楷体" w:eastAsia="楷体" w:hAnsi="楷体" w:hint="eastAsia"/>
          <w:color w:val="000000"/>
          <w:sz w:val="24"/>
          <w:szCs w:val="24"/>
        </w:rPr>
        <w:t>实践</w:t>
      </w:r>
      <w:r>
        <w:rPr>
          <w:rFonts w:ascii="楷体" w:eastAsia="楷体" w:hAnsi="楷体"/>
          <w:color w:val="000000"/>
          <w:sz w:val="24"/>
          <w:szCs w:val="24"/>
        </w:rPr>
        <w:t>表明</w:t>
      </w:r>
      <w:r>
        <w:rPr>
          <w:rFonts w:ascii="楷体" w:eastAsia="楷体" w:hAnsi="楷体" w:hint="eastAsia"/>
          <w:color w:val="000000"/>
          <w:sz w:val="24"/>
          <w:szCs w:val="24"/>
        </w:rPr>
        <w:t>：当</w:t>
      </w:r>
      <w:r w:rsidRPr="003B4644">
        <w:rPr>
          <w:rFonts w:ascii="楷体" w:eastAsia="楷体" w:hAnsi="楷体" w:hint="eastAsia"/>
          <w:color w:val="000000"/>
          <w:sz w:val="24"/>
          <w:szCs w:val="24"/>
        </w:rPr>
        <w:t>前</w:t>
      </w:r>
      <w:r w:rsidR="00CC2BF8">
        <w:rPr>
          <w:rFonts w:ascii="楷体" w:eastAsia="楷体" w:hAnsi="楷体" w:hint="eastAsia"/>
          <w:color w:val="000000"/>
          <w:sz w:val="24"/>
          <w:szCs w:val="24"/>
        </w:rPr>
        <w:t>xx</w:t>
      </w:r>
      <w:r w:rsidRPr="003B4644">
        <w:rPr>
          <w:rFonts w:ascii="楷体" w:eastAsia="楷体" w:hAnsi="楷体" w:hint="eastAsia"/>
          <w:color w:val="000000"/>
          <w:sz w:val="24"/>
          <w:szCs w:val="24"/>
        </w:rPr>
        <w:t>农商行信贷风险管理仍存在问题</w:t>
      </w:r>
      <w:r>
        <w:rPr>
          <w:rFonts w:ascii="楷体" w:eastAsia="楷体" w:hAnsi="楷体" w:hint="eastAsia"/>
          <w:color w:val="000000"/>
          <w:sz w:val="24"/>
          <w:szCs w:val="24"/>
        </w:rPr>
        <w:t>，主要</w:t>
      </w:r>
      <w:r>
        <w:rPr>
          <w:rFonts w:ascii="楷体" w:eastAsia="楷体" w:hAnsi="楷体"/>
          <w:color w:val="000000"/>
          <w:sz w:val="24"/>
          <w:szCs w:val="24"/>
        </w:rPr>
        <w:t>原因是</w:t>
      </w:r>
      <w:r w:rsidRPr="003B4644">
        <w:rPr>
          <w:rFonts w:ascii="楷体" w:eastAsia="楷体" w:hAnsi="楷体" w:hint="eastAsia"/>
          <w:color w:val="000000"/>
          <w:sz w:val="24"/>
          <w:szCs w:val="24"/>
        </w:rPr>
        <w:t>信贷人员素质偏低且参差不齐；内部控制不完善；对不良贷款的管理不力；信贷管理薄弱，对关注类贷款的管理缺乏精细化管理；服务对象单一；存在信息不对称；量化信用风险的方法模型粗放。并据此提出切合泰兴农商行现状的可行的政策建议</w:t>
      </w:r>
      <w:r>
        <w:rPr>
          <w:rFonts w:ascii="楷体" w:eastAsia="楷体" w:hAnsi="楷体" w:hint="eastAsia"/>
          <w:color w:val="000000"/>
          <w:sz w:val="24"/>
          <w:szCs w:val="24"/>
        </w:rPr>
        <w:t>。</w:t>
      </w:r>
    </w:p>
    <w:p w:rsidR="006F4B4B" w:rsidRPr="00180DDD" w:rsidRDefault="00180DDD" w:rsidP="00575B45">
      <w:pPr>
        <w:pStyle w:val="reader-word-layer"/>
        <w:shd w:val="clear" w:color="auto" w:fill="FFFFFF"/>
        <w:spacing w:beforeLines="50" w:beforeAutospacing="0" w:afterLines="50" w:afterAutospacing="0"/>
        <w:ind w:firstLineChars="200" w:firstLine="602"/>
        <w:jc w:val="center"/>
        <w:outlineLvl w:val="0"/>
        <w:rPr>
          <w:rFonts w:asciiTheme="minorEastAsia" w:eastAsiaTheme="minorEastAsia" w:hAnsiTheme="minorEastAsia"/>
          <w:b/>
          <w:bCs/>
          <w:color w:val="000000"/>
          <w:sz w:val="30"/>
          <w:szCs w:val="30"/>
        </w:rPr>
      </w:pPr>
      <w:r w:rsidRPr="00180DDD">
        <w:rPr>
          <w:rFonts w:asciiTheme="minorEastAsia" w:eastAsiaTheme="minorEastAsia" w:hAnsiTheme="minorEastAsia" w:hint="eastAsia"/>
          <w:b/>
          <w:bCs/>
          <w:color w:val="000000"/>
          <w:sz w:val="30"/>
          <w:szCs w:val="30"/>
        </w:rPr>
        <w:t>一</w:t>
      </w:r>
      <w:r w:rsidR="006F4B4B" w:rsidRPr="00180DDD">
        <w:rPr>
          <w:rFonts w:asciiTheme="minorEastAsia" w:eastAsiaTheme="minorEastAsia" w:hAnsiTheme="minorEastAsia" w:hint="eastAsia"/>
          <w:b/>
          <w:bCs/>
          <w:color w:val="000000"/>
          <w:sz w:val="30"/>
          <w:szCs w:val="30"/>
        </w:rPr>
        <w:t>、企业简介</w:t>
      </w:r>
    </w:p>
    <w:p w:rsidR="003B4644" w:rsidRDefault="003B4644" w:rsidP="003B4644">
      <w:pPr>
        <w:pStyle w:val="reader-word-layer"/>
        <w:shd w:val="clear" w:color="auto" w:fill="FFFFFF"/>
        <w:spacing w:before="0" w:beforeAutospacing="0" w:after="0" w:afterAutospacing="0" w:line="288" w:lineRule="auto"/>
        <w:ind w:firstLineChars="200" w:firstLine="480"/>
      </w:pPr>
      <w:r>
        <w:rPr>
          <w:rFonts w:hint="eastAsia"/>
        </w:rPr>
        <w:t>江苏</w:t>
      </w:r>
      <w:r w:rsidR="00CC2BF8">
        <w:rPr>
          <w:rFonts w:hint="eastAsia"/>
        </w:rPr>
        <w:t>xx</w:t>
      </w:r>
      <w:r>
        <w:rPr>
          <w:rFonts w:hint="eastAsia"/>
        </w:rPr>
        <w:t>农村商业银行是泰兴营业机构最多，服务范围最广，存贷规模最大的银行。至2012年末，有遍布城乡的43个支行，3个分理处，1个总行营业部，580余名员工，各项存贷款总额分别突破102亿元和73亿元，居全市各金融机构首位。</w:t>
      </w:r>
    </w:p>
    <w:p w:rsidR="00EB1E0C" w:rsidRPr="00FA1F0C" w:rsidRDefault="003B4644" w:rsidP="003B4644">
      <w:pPr>
        <w:pStyle w:val="reader-word-layer"/>
        <w:shd w:val="clear" w:color="auto" w:fill="FFFFFF"/>
        <w:spacing w:before="0" w:beforeAutospacing="0" w:after="0" w:afterAutospacing="0" w:line="288" w:lineRule="auto"/>
        <w:ind w:firstLineChars="200" w:firstLine="480"/>
      </w:pPr>
      <w:r>
        <w:rPr>
          <w:rFonts w:hint="eastAsia"/>
        </w:rPr>
        <w:t>泰兴农商行在2012年整体保持了平稳较快的发展态势。至2012年末，账面利润总额14,576万元，比上年同期增加5,093万元，增幅53.71%；各项存款1,073,450万元,比年初增加162,935万元，增幅17.89%，同比多增13,917万元。各项贷款774,473万元,比年初增加126,239万元,增幅19.47%，同口径同比少增32,275万元。不良贷款余额（五级分类）11,437万元，较年初上升4,928万元，增幅75.71%。不良贷款率（五级分类）为1.48%，较年初上升0.48个百分点。不良资产余额为20,671万元，较年初减少88万元。</w:t>
      </w:r>
    </w:p>
    <w:p w:rsidR="000C4827" w:rsidRPr="006F7F98" w:rsidRDefault="00180DDD" w:rsidP="00575B45">
      <w:pPr>
        <w:pStyle w:val="reader-word-layer"/>
        <w:shd w:val="clear" w:color="auto" w:fill="FFFFFF"/>
        <w:spacing w:beforeLines="50" w:beforeAutospacing="0" w:afterLines="50" w:afterAutospacing="0"/>
        <w:ind w:firstLineChars="200" w:firstLine="602"/>
        <w:jc w:val="center"/>
        <w:outlineLvl w:val="0"/>
        <w:rPr>
          <w:rFonts w:asciiTheme="minorEastAsia" w:eastAsiaTheme="minorEastAsia" w:hAnsiTheme="minorEastAsia"/>
          <w:b/>
          <w:bCs/>
          <w:color w:val="000000"/>
          <w:sz w:val="30"/>
          <w:szCs w:val="30"/>
        </w:rPr>
      </w:pPr>
      <w:r w:rsidRPr="00180DDD">
        <w:rPr>
          <w:rFonts w:asciiTheme="minorEastAsia" w:eastAsiaTheme="minorEastAsia" w:hAnsiTheme="minorEastAsia" w:hint="eastAsia"/>
          <w:b/>
          <w:bCs/>
          <w:color w:val="000000"/>
          <w:sz w:val="30"/>
          <w:szCs w:val="30"/>
        </w:rPr>
        <w:t>二</w:t>
      </w:r>
      <w:r w:rsidR="006F4B4B" w:rsidRPr="00180DDD">
        <w:rPr>
          <w:rFonts w:asciiTheme="minorEastAsia" w:eastAsiaTheme="minorEastAsia" w:hAnsiTheme="minorEastAsia" w:hint="eastAsia"/>
          <w:b/>
          <w:bCs/>
          <w:color w:val="000000"/>
          <w:sz w:val="30"/>
          <w:szCs w:val="30"/>
        </w:rPr>
        <w:t>、问题的提出</w:t>
      </w:r>
    </w:p>
    <w:p w:rsidR="009D69A6" w:rsidRPr="009D69A6" w:rsidRDefault="009D69A6" w:rsidP="009D69A6">
      <w:pPr>
        <w:spacing w:line="288" w:lineRule="auto"/>
        <w:ind w:firstLineChars="200" w:firstLine="480"/>
        <w:rPr>
          <w:rFonts w:hAnsi="宋体"/>
          <w:sz w:val="24"/>
          <w:szCs w:val="24"/>
        </w:rPr>
      </w:pPr>
      <w:r w:rsidRPr="009D69A6">
        <w:rPr>
          <w:rFonts w:hAnsi="宋体" w:hint="eastAsia"/>
          <w:sz w:val="24"/>
          <w:szCs w:val="24"/>
        </w:rPr>
        <w:t>我国目前正处于发展的重要战略机遇期，又处于社会矛盾凸现期，贫富差距扩大，城乡差距扩大，工农差距扩大。为解决目前的城乡差距仍然存在且有进一步扩大趋势问题，国家正积极实施各种相关政策，来鼓励扶持农业和农村经济的发展，以实现缩小城乡差距，贫富差距，实现城乡均衡发展，构建和谐社会的目标。</w:t>
      </w:r>
    </w:p>
    <w:p w:rsidR="009D69A6" w:rsidRPr="009D69A6" w:rsidRDefault="009D69A6" w:rsidP="009D69A6">
      <w:pPr>
        <w:spacing w:line="288" w:lineRule="auto"/>
        <w:ind w:firstLineChars="200" w:firstLine="480"/>
        <w:rPr>
          <w:rFonts w:hAnsi="宋体"/>
          <w:sz w:val="24"/>
          <w:szCs w:val="24"/>
        </w:rPr>
      </w:pPr>
      <w:r w:rsidRPr="009D69A6">
        <w:rPr>
          <w:rFonts w:hAnsi="宋体" w:hint="eastAsia"/>
          <w:sz w:val="24"/>
          <w:szCs w:val="24"/>
        </w:rPr>
        <w:t>目前，农村金融机构在国家相关政策的扶持鼓励下相继建立起来，且发展势头良好，给农村经济的发展注入活力，但与此同时也出现了一系列问题，尤其是农村金融机构贷款风险管理方面存在着不容忽视的问题，亟待解决。</w:t>
      </w:r>
    </w:p>
    <w:p w:rsidR="006F4B4B" w:rsidRPr="006F7F98" w:rsidRDefault="009D69A6" w:rsidP="009D69A6">
      <w:pPr>
        <w:spacing w:line="288" w:lineRule="auto"/>
        <w:ind w:firstLineChars="200" w:firstLine="480"/>
        <w:rPr>
          <w:rFonts w:hAnsi="宋体"/>
          <w:sz w:val="24"/>
          <w:szCs w:val="24"/>
        </w:rPr>
      </w:pPr>
      <w:r>
        <w:rPr>
          <w:rFonts w:hAnsi="宋体" w:hint="eastAsia"/>
          <w:sz w:val="24"/>
          <w:szCs w:val="24"/>
        </w:rPr>
        <w:t>因此，</w:t>
      </w:r>
      <w:r>
        <w:rPr>
          <w:rFonts w:hAnsi="宋体"/>
          <w:sz w:val="24"/>
          <w:szCs w:val="24"/>
        </w:rPr>
        <w:t>报告将</w:t>
      </w:r>
      <w:r w:rsidRPr="009D69A6">
        <w:rPr>
          <w:rFonts w:hAnsi="宋体" w:hint="eastAsia"/>
          <w:sz w:val="24"/>
          <w:szCs w:val="24"/>
        </w:rPr>
        <w:t>总结有关农村金融机构贷款风险管理方面的理论；而后通过对泰兴农村商业银行的经营情况的财务分析和贷款信用风险的深入剖析，得出目前泰兴农商行的发展现状及仍存在的问题并据此提出相应的可行政策建议。</w:t>
      </w:r>
    </w:p>
    <w:p w:rsidR="006F4B4B" w:rsidRPr="00180DDD" w:rsidRDefault="00180DDD" w:rsidP="00575B45">
      <w:pPr>
        <w:pStyle w:val="reader-word-layer"/>
        <w:shd w:val="clear" w:color="auto" w:fill="FFFFFF"/>
        <w:spacing w:beforeLines="50" w:beforeAutospacing="0" w:afterLines="50" w:afterAutospacing="0"/>
        <w:ind w:firstLineChars="200" w:firstLine="602"/>
        <w:jc w:val="center"/>
        <w:outlineLvl w:val="0"/>
        <w:rPr>
          <w:rFonts w:asciiTheme="minorEastAsia" w:eastAsiaTheme="minorEastAsia" w:hAnsiTheme="minorEastAsia"/>
          <w:b/>
          <w:bCs/>
          <w:color w:val="000000"/>
          <w:sz w:val="30"/>
          <w:szCs w:val="30"/>
        </w:rPr>
      </w:pPr>
      <w:r w:rsidRPr="00180DDD">
        <w:rPr>
          <w:rFonts w:asciiTheme="minorEastAsia" w:eastAsiaTheme="minorEastAsia" w:hAnsiTheme="minorEastAsia" w:hint="eastAsia"/>
          <w:b/>
          <w:bCs/>
          <w:color w:val="000000"/>
          <w:sz w:val="30"/>
          <w:szCs w:val="30"/>
        </w:rPr>
        <w:lastRenderedPageBreak/>
        <w:t>三</w:t>
      </w:r>
      <w:r w:rsidR="006F4B4B" w:rsidRPr="00180DDD">
        <w:rPr>
          <w:rFonts w:asciiTheme="minorEastAsia" w:eastAsiaTheme="minorEastAsia" w:hAnsiTheme="minorEastAsia" w:hint="eastAsia"/>
          <w:b/>
          <w:bCs/>
          <w:color w:val="000000"/>
          <w:sz w:val="30"/>
          <w:szCs w:val="30"/>
        </w:rPr>
        <w:t>、理论综述</w:t>
      </w:r>
    </w:p>
    <w:p w:rsidR="006D6DB2" w:rsidRPr="000A7DD5" w:rsidRDefault="000A7DD5" w:rsidP="000141C6">
      <w:pPr>
        <w:pStyle w:val="reader-word-layer"/>
        <w:shd w:val="clear" w:color="auto" w:fill="FFFFFF"/>
        <w:spacing w:before="0" w:beforeAutospacing="0" w:after="0" w:afterAutospacing="0" w:line="288" w:lineRule="auto"/>
        <w:rPr>
          <w:rFonts w:ascii="Times New Roman" w:hAnsi="Times New Roman"/>
          <w:b/>
          <w:color w:val="000000"/>
        </w:rPr>
      </w:pPr>
      <w:r w:rsidRPr="000A7DD5">
        <w:rPr>
          <w:rFonts w:ascii="Times New Roman" w:hAnsi="Times New Roman" w:hint="eastAsia"/>
          <w:b/>
          <w:color w:val="000000"/>
        </w:rPr>
        <w:t>（一）</w:t>
      </w:r>
      <w:r w:rsidR="00C0336A" w:rsidRPr="00C0336A">
        <w:rPr>
          <w:rFonts w:ascii="Times New Roman" w:hAnsi="Times New Roman" w:hint="eastAsia"/>
          <w:b/>
          <w:color w:val="000000"/>
        </w:rPr>
        <w:t>信用风险的特点</w:t>
      </w:r>
    </w:p>
    <w:p w:rsidR="00DA5DE6" w:rsidRDefault="00DA5DE6" w:rsidP="00BD2045">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Pr>
          <w:rFonts w:ascii="Times New Roman" w:hAnsi="Times New Roman" w:hint="eastAsia"/>
          <w:color w:val="000000"/>
        </w:rPr>
        <w:t>1</w:t>
      </w:r>
      <w:r>
        <w:rPr>
          <w:rFonts w:ascii="Times New Roman" w:hAnsi="Times New Roman"/>
          <w:color w:val="000000"/>
        </w:rPr>
        <w:t>.</w:t>
      </w:r>
      <w:r>
        <w:rPr>
          <w:rFonts w:ascii="Times New Roman" w:hAnsi="Times New Roman" w:hint="eastAsia"/>
          <w:color w:val="000000"/>
        </w:rPr>
        <w:t>广泛性</w:t>
      </w:r>
    </w:p>
    <w:p w:rsidR="00DA5DE6" w:rsidRDefault="00DA5DE6" w:rsidP="00BD2045">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银行信用风险是广泛存在的，因为在日常的经济行为中，无论是与其他经济主体交易、竞争或是合作，都有可能因为对方信用状况的变化而对自身的经营状况产生巨大的影响。这种直接与对方信用程度相挂钩的风险不仅存在于资产业务中，也可能存在于负债业务、中间业务中。</w:t>
      </w:r>
    </w:p>
    <w:p w:rsidR="00DA5DE6" w:rsidRDefault="00DA5DE6" w:rsidP="00BD2045">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Pr>
          <w:rFonts w:ascii="Times New Roman" w:hAnsi="Times New Roman"/>
          <w:color w:val="000000"/>
        </w:rPr>
        <w:t>2.</w:t>
      </w:r>
      <w:r>
        <w:rPr>
          <w:rFonts w:ascii="Times New Roman" w:hAnsi="Times New Roman" w:hint="eastAsia"/>
          <w:color w:val="000000"/>
        </w:rPr>
        <w:t>相关性</w:t>
      </w:r>
    </w:p>
    <w:p w:rsidR="00121175" w:rsidRDefault="00DA5DE6" w:rsidP="00BD2045">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风险并不是独立存在的，它与行为、环境和决策等密切相关。经济活动中的不同行为主体面临同样的事件会有不同的风险后果，而同样的行为由于所面临的经济环境或决策的不同，也会导致不同的风险结果。</w:t>
      </w:r>
    </w:p>
    <w:p w:rsidR="00DA5DE6" w:rsidRDefault="00DA5DE6" w:rsidP="00BD2045">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Pr>
          <w:rFonts w:ascii="Times New Roman" w:hAnsi="Times New Roman" w:hint="eastAsia"/>
          <w:color w:val="000000"/>
        </w:rPr>
        <w:t>3.</w:t>
      </w:r>
      <w:r>
        <w:rPr>
          <w:rFonts w:ascii="Times New Roman" w:hAnsi="Times New Roman" w:hint="eastAsia"/>
          <w:color w:val="000000"/>
        </w:rPr>
        <w:t>内生性</w:t>
      </w:r>
    </w:p>
    <w:p w:rsidR="00DA5DE6" w:rsidRDefault="00DA5DE6" w:rsidP="00BD2045">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信用风险具有广泛的内生性。债务人自身的还款能力和债务人的还款意愿是影响债务人违约的最主要因素。因此，商业银行必须及时、深入地了解债务人的信用状况，可以充分利用企业自身提供的各种信息，如财务报表等。</w:t>
      </w:r>
    </w:p>
    <w:p w:rsidR="00DA5DE6" w:rsidRDefault="00DA5DE6" w:rsidP="00BD2045">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Pr>
          <w:rFonts w:ascii="Times New Roman" w:hAnsi="Times New Roman" w:hint="eastAsia"/>
          <w:color w:val="000000"/>
        </w:rPr>
        <w:t>4.</w:t>
      </w:r>
      <w:r>
        <w:rPr>
          <w:rFonts w:ascii="Times New Roman" w:hAnsi="Times New Roman" w:hint="eastAsia"/>
          <w:color w:val="000000"/>
        </w:rPr>
        <w:t>客观性</w:t>
      </w:r>
    </w:p>
    <w:p w:rsidR="00DA5DE6" w:rsidRDefault="00DA5DE6" w:rsidP="00BD2045">
      <w:pPr>
        <w:pStyle w:val="reader-word-layer"/>
        <w:shd w:val="clear" w:color="auto" w:fill="FFFFFF"/>
        <w:spacing w:before="0" w:beforeAutospacing="0" w:after="0" w:afterAutospacing="0" w:line="288" w:lineRule="auto"/>
        <w:ind w:firstLineChars="200" w:firstLine="480"/>
      </w:pPr>
      <w:r>
        <w:rPr>
          <w:rFonts w:hint="eastAsia"/>
        </w:rPr>
        <w:t>在银行业务活动中，只要有信贷行为，就必然有信用风险的产生。信用风险是客观存在、不可避免的。银行只能通过加强风险管理来</w:t>
      </w:r>
      <w:r w:rsidR="00FB45D5">
        <w:rPr>
          <w:rFonts w:hint="eastAsia"/>
        </w:rPr>
        <w:t>减少信用风险的发生频率，降低其带来的损失，却不能从根本上消除它</w:t>
      </w:r>
      <w:r>
        <w:rPr>
          <w:rFonts w:hint="eastAsia"/>
        </w:rPr>
        <w:t>。</w:t>
      </w:r>
    </w:p>
    <w:p w:rsidR="00DA5DE6" w:rsidRDefault="00DA5DE6" w:rsidP="00BD2045">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Pr>
          <w:rFonts w:hint="eastAsia"/>
        </w:rPr>
        <w:t>5.政策性</w:t>
      </w:r>
    </w:p>
    <w:p w:rsidR="00DA5DE6" w:rsidRDefault="00DA5DE6" w:rsidP="00BD2045">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银行信用风险的存在具有政策性，表现在随着国家宏观经济政策和信贷政策的调整，可能会导致贷款的呆滞、呆账难以收回。比如国家产业政策的调整，既能推动一批适用于该政策的企业的兴起与发展，也会促使一批不符合该政策的企业关闭或停产。</w:t>
      </w:r>
    </w:p>
    <w:p w:rsidR="00DA5DE6" w:rsidRPr="00DA5DE6" w:rsidRDefault="00DA5DE6" w:rsidP="00BD2045">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Pr>
          <w:rFonts w:ascii="Times New Roman" w:hAnsi="Times New Roman"/>
          <w:color w:val="000000"/>
        </w:rPr>
        <w:t>6.</w:t>
      </w:r>
      <w:r>
        <w:rPr>
          <w:rFonts w:ascii="Times New Roman" w:hAnsi="Times New Roman" w:hint="eastAsia"/>
          <w:color w:val="000000"/>
        </w:rPr>
        <w:t>非系统性</w:t>
      </w:r>
    </w:p>
    <w:p w:rsidR="00DA5DE6" w:rsidRDefault="00DA5DE6" w:rsidP="00BD2045">
      <w:pPr>
        <w:pStyle w:val="reader-word-layer"/>
        <w:shd w:val="clear" w:color="auto" w:fill="FFFFFF"/>
        <w:spacing w:before="0" w:beforeAutospacing="0" w:after="0" w:afterAutospacing="0" w:line="288" w:lineRule="auto"/>
        <w:ind w:firstLineChars="200" w:firstLine="480"/>
      </w:pPr>
      <w:r>
        <w:rPr>
          <w:rFonts w:hint="eastAsia"/>
        </w:rPr>
        <w:t>信用风险具有非系统性，因为信用风险内生性的特点，债务人的还款能力主要取决于债务人的财务状况、经营能力等债务人自身的非系统性的零散微观因素，而不是取决于代表宏观经济的系统性风险。</w:t>
      </w:r>
    </w:p>
    <w:p w:rsidR="00DA5DE6" w:rsidRDefault="00DA5DE6" w:rsidP="00BD2045">
      <w:pPr>
        <w:pStyle w:val="reader-word-layer"/>
        <w:shd w:val="clear" w:color="auto" w:fill="FFFFFF"/>
        <w:spacing w:before="0" w:beforeAutospacing="0" w:after="0" w:afterAutospacing="0" w:line="288" w:lineRule="auto"/>
        <w:ind w:firstLineChars="200" w:firstLine="480"/>
      </w:pPr>
      <w:r>
        <w:rPr>
          <w:rFonts w:hint="eastAsia"/>
        </w:rPr>
        <w:t>7.非对称性</w:t>
      </w:r>
    </w:p>
    <w:p w:rsidR="000141C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在统计学上，市场风险的概率分布一般呈正态分布，分布图型左右基本对称，说明随着样本的越大，其损失与收益出现的机会越接近，曲线趋向于中部集中。而信用风险却是比较特殊的，根据统计的信用风险概率分布来看，信用风险的概率分布呈现一种偏右的正态分布，并在左侧出现“肥尾”现象。</w:t>
      </w:r>
    </w:p>
    <w:p w:rsidR="00E76C87" w:rsidRPr="000A7DD5" w:rsidRDefault="000A7DD5" w:rsidP="000141C6">
      <w:pPr>
        <w:pStyle w:val="reader-word-layer"/>
        <w:shd w:val="clear" w:color="auto" w:fill="FFFFFF"/>
        <w:spacing w:before="0" w:beforeAutospacing="0" w:after="0" w:afterAutospacing="0" w:line="288" w:lineRule="auto"/>
        <w:rPr>
          <w:rFonts w:ascii="Times New Roman" w:hAnsi="Times New Roman"/>
          <w:b/>
          <w:color w:val="000000"/>
        </w:rPr>
      </w:pPr>
      <w:r w:rsidRPr="000A7DD5">
        <w:rPr>
          <w:rFonts w:ascii="Times New Roman" w:hAnsi="Times New Roman" w:hint="eastAsia"/>
          <w:b/>
          <w:color w:val="000000"/>
        </w:rPr>
        <w:t>（二</w:t>
      </w:r>
      <w:r w:rsidRPr="000A7DD5">
        <w:rPr>
          <w:rFonts w:ascii="Times New Roman" w:hAnsi="Times New Roman"/>
          <w:b/>
          <w:color w:val="000000"/>
        </w:rPr>
        <w:t>）</w:t>
      </w:r>
      <w:r w:rsidR="00C0336A" w:rsidRPr="00C0336A">
        <w:rPr>
          <w:rFonts w:ascii="Times New Roman" w:hAnsi="Times New Roman" w:hint="eastAsia"/>
          <w:b/>
          <w:color w:val="000000"/>
        </w:rPr>
        <w:t>商业银行信用风险的管理方法</w:t>
      </w:r>
    </w:p>
    <w:p w:rsidR="00DA5DE6" w:rsidRDefault="00DA5DE6" w:rsidP="00DA5DE6">
      <w:pPr>
        <w:pStyle w:val="reader-word-layer"/>
        <w:shd w:val="clear" w:color="auto" w:fill="FFFFFF"/>
        <w:spacing w:before="0" w:beforeAutospacing="0" w:after="0" w:afterAutospacing="0" w:line="288" w:lineRule="auto"/>
        <w:ind w:firstLineChars="200" w:firstLine="480"/>
      </w:pPr>
      <w:r>
        <w:rPr>
          <w:rFonts w:ascii="Times New Roman" w:hAnsi="Times New Roman" w:hint="eastAsia"/>
          <w:color w:val="000000"/>
        </w:rPr>
        <w:t>1.</w:t>
      </w:r>
      <w:r>
        <w:rPr>
          <w:rFonts w:hint="eastAsia"/>
        </w:rPr>
        <w:t>国外信用风险的管理方法：</w:t>
      </w:r>
    </w:p>
    <w:p w:rsidR="00DA5DE6" w:rsidRPr="00DA5DE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lastRenderedPageBreak/>
        <w:t>标准法，是指通过银行外部专业的评级机构对贷款人的信用风险赋予不同的权重，从而通过公式计算出商业银行资本比率的方法。</w:t>
      </w:r>
    </w:p>
    <w:p w:rsidR="00DA5DE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内部评级法，是巴塞尔新资本协议提出的计算商业银行资本充足率的，保证商业银行稳健运营的一种方法。内部评级法包括初级法和高级法。初级法只要求银行提供借款人违约概率的估计值，其它风险要素值（违约损失率、违约暴露、期限）由监管当局规定。而高级法允许银行使用多项自己的估计值。</w:t>
      </w:r>
    </w:p>
    <w:p w:rsidR="00BD2045" w:rsidRPr="00BD2045"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Pr>
          <w:rFonts w:ascii="Times New Roman" w:hAnsi="Times New Roman" w:hint="eastAsia"/>
          <w:color w:val="000000"/>
        </w:rPr>
        <w:t>2</w:t>
      </w:r>
      <w:r>
        <w:rPr>
          <w:rFonts w:ascii="Times New Roman" w:hAnsi="Times New Roman"/>
          <w:color w:val="000000"/>
        </w:rPr>
        <w:t>.</w:t>
      </w:r>
      <w:r>
        <w:rPr>
          <w:rFonts w:hint="eastAsia"/>
        </w:rPr>
        <w:t>国内信用风险的管理方法：</w:t>
      </w:r>
    </w:p>
    <w:p w:rsidR="00DA5DE6" w:rsidRPr="00DA5DE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w:t>
      </w:r>
      <w:r w:rsidRPr="00DA5DE6">
        <w:rPr>
          <w:rFonts w:ascii="Times New Roman" w:hAnsi="Times New Roman" w:hint="eastAsia"/>
          <w:color w:val="000000"/>
        </w:rPr>
        <w:t>1</w:t>
      </w:r>
      <w:r w:rsidRPr="00DA5DE6">
        <w:rPr>
          <w:rFonts w:ascii="Times New Roman" w:hAnsi="Times New Roman" w:hint="eastAsia"/>
          <w:color w:val="000000"/>
        </w:rPr>
        <w:t>）专家分析法</w:t>
      </w:r>
    </w:p>
    <w:p w:rsidR="00DA5DE6" w:rsidRPr="00DA5DE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最常见的是</w:t>
      </w:r>
      <w:r w:rsidRPr="00DA5DE6">
        <w:rPr>
          <w:rFonts w:ascii="Times New Roman" w:hAnsi="Times New Roman" w:hint="eastAsia"/>
          <w:color w:val="000000"/>
        </w:rPr>
        <w:t>5C</w:t>
      </w:r>
      <w:r w:rsidRPr="00DA5DE6">
        <w:rPr>
          <w:rFonts w:ascii="Times New Roman" w:hAnsi="Times New Roman" w:hint="eastAsia"/>
          <w:color w:val="000000"/>
        </w:rPr>
        <w:t>要素法，由专家对借款人的道德品质、还款能力、资本实力、担保和经营情况五个方面进行全面的定性分析并给出权重，以此判别借款人的还款意愿和还款能力，并做出是否贷款的判断。</w:t>
      </w:r>
    </w:p>
    <w:p w:rsidR="00DA5DE6" w:rsidRPr="00DA5DE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w:t>
      </w:r>
      <w:r w:rsidRPr="00DA5DE6">
        <w:rPr>
          <w:rFonts w:ascii="Times New Roman" w:hAnsi="Times New Roman" w:hint="eastAsia"/>
          <w:color w:val="000000"/>
        </w:rPr>
        <w:t>2</w:t>
      </w:r>
      <w:r w:rsidRPr="00DA5DE6">
        <w:rPr>
          <w:rFonts w:ascii="Times New Roman" w:hAnsi="Times New Roman" w:hint="eastAsia"/>
          <w:color w:val="000000"/>
        </w:rPr>
        <w:t>）信用评级法</w:t>
      </w:r>
    </w:p>
    <w:p w:rsidR="00DA5DE6" w:rsidRPr="00DA5DE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贷款信用评级法是在美国货币管理署最早开发的评级基础上拓展而来的，它将贷款分为正常类贷款、关注类贷款、次级类贷款、可疑类贷款和损失类贷款五个等级，不同级别的贷款要求计提不同比例的贷款损失准备金。</w:t>
      </w:r>
    </w:p>
    <w:p w:rsidR="00DA5DE6" w:rsidRPr="00DA5DE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w:t>
      </w:r>
      <w:r w:rsidRPr="00DA5DE6">
        <w:rPr>
          <w:rFonts w:ascii="Times New Roman" w:hAnsi="Times New Roman" w:hint="eastAsia"/>
          <w:color w:val="000000"/>
        </w:rPr>
        <w:t>3</w:t>
      </w:r>
      <w:r w:rsidRPr="00DA5DE6">
        <w:rPr>
          <w:rFonts w:ascii="Times New Roman" w:hAnsi="Times New Roman" w:hint="eastAsia"/>
          <w:color w:val="000000"/>
        </w:rPr>
        <w:t>）财务比率分析法</w:t>
      </w:r>
    </w:p>
    <w:p w:rsidR="00DA5DE6" w:rsidRPr="00DA5DE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对于银行而言，信用危机一般都是由财务危机所引致的，所以及早发现趋于恶化的财务指标，将有助于判断借款人财务状况、确定信用等级，为信贷和投资提供依据，如：杜邦财务分析法、沃尔评分法等。</w:t>
      </w:r>
    </w:p>
    <w:p w:rsidR="00DA5DE6" w:rsidRPr="00DA5DE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w:t>
      </w:r>
      <w:r w:rsidRPr="00DA5DE6">
        <w:rPr>
          <w:rFonts w:ascii="Times New Roman" w:hAnsi="Times New Roman" w:hint="eastAsia"/>
          <w:color w:val="000000"/>
        </w:rPr>
        <w:t>4</w:t>
      </w:r>
      <w:r w:rsidRPr="00DA5DE6">
        <w:rPr>
          <w:rFonts w:ascii="Times New Roman" w:hAnsi="Times New Roman" w:hint="eastAsia"/>
          <w:color w:val="000000"/>
        </w:rPr>
        <w:t>）多元统计分析法</w:t>
      </w:r>
    </w:p>
    <w:p w:rsidR="00E76C87" w:rsidRPr="00DA5DE6" w:rsidRDefault="00DA5DE6" w:rsidP="00DA5DE6">
      <w:pPr>
        <w:pStyle w:val="reader-word-layer"/>
        <w:shd w:val="clear" w:color="auto" w:fill="FFFFFF"/>
        <w:spacing w:before="0" w:beforeAutospacing="0" w:after="0" w:afterAutospacing="0" w:line="288" w:lineRule="auto"/>
        <w:ind w:firstLineChars="200" w:firstLine="480"/>
        <w:rPr>
          <w:rFonts w:ascii="Times New Roman" w:hAnsi="Times New Roman"/>
          <w:color w:val="000000"/>
        </w:rPr>
      </w:pPr>
      <w:r w:rsidRPr="00DA5DE6">
        <w:rPr>
          <w:rFonts w:ascii="Times New Roman" w:hAnsi="Times New Roman" w:hint="eastAsia"/>
          <w:color w:val="000000"/>
        </w:rPr>
        <w:t>多元统计分析法将影响贷款人信用状况的关键要素赋予相应的主观权重，通过一些特定的公式计算得到反映贷款人综合信用状况的分值，再将其与事先设定的基准值进行比较比较来决定是否发放贷款。</w:t>
      </w:r>
    </w:p>
    <w:p w:rsidR="00E76C87" w:rsidRPr="004A215C" w:rsidRDefault="00180DDD" w:rsidP="00575B45">
      <w:pPr>
        <w:pStyle w:val="reader-word-layer"/>
        <w:shd w:val="clear" w:color="auto" w:fill="FFFFFF"/>
        <w:spacing w:beforeLines="50" w:beforeAutospacing="0" w:afterLines="50" w:afterAutospacing="0"/>
        <w:ind w:firstLineChars="200" w:firstLine="602"/>
        <w:jc w:val="center"/>
        <w:outlineLvl w:val="0"/>
        <w:rPr>
          <w:rFonts w:asciiTheme="minorEastAsia" w:eastAsiaTheme="minorEastAsia" w:hAnsiTheme="minorEastAsia"/>
          <w:b/>
          <w:bCs/>
          <w:color w:val="000000"/>
          <w:sz w:val="30"/>
          <w:szCs w:val="30"/>
        </w:rPr>
      </w:pPr>
      <w:r w:rsidRPr="00180DDD">
        <w:rPr>
          <w:rFonts w:asciiTheme="minorEastAsia" w:eastAsiaTheme="minorEastAsia" w:hAnsiTheme="minorEastAsia" w:hint="eastAsia"/>
          <w:b/>
          <w:bCs/>
          <w:color w:val="000000"/>
          <w:sz w:val="30"/>
          <w:szCs w:val="30"/>
        </w:rPr>
        <w:t>四</w:t>
      </w:r>
      <w:r w:rsidR="009D78C5" w:rsidRPr="00180DDD">
        <w:rPr>
          <w:rFonts w:asciiTheme="minorEastAsia" w:eastAsiaTheme="minorEastAsia" w:hAnsiTheme="minorEastAsia" w:hint="eastAsia"/>
          <w:b/>
          <w:bCs/>
          <w:color w:val="000000"/>
          <w:sz w:val="30"/>
          <w:szCs w:val="30"/>
        </w:rPr>
        <w:t>、</w:t>
      </w:r>
      <w:r w:rsidR="005326E1" w:rsidRPr="00180DDD">
        <w:rPr>
          <w:rFonts w:asciiTheme="minorEastAsia" w:eastAsiaTheme="minorEastAsia" w:hAnsiTheme="minorEastAsia" w:hint="eastAsia"/>
          <w:b/>
          <w:bCs/>
          <w:color w:val="000000"/>
          <w:sz w:val="30"/>
          <w:szCs w:val="30"/>
        </w:rPr>
        <w:t>调查</w:t>
      </w:r>
      <w:r w:rsidR="009D78C5" w:rsidRPr="00180DDD">
        <w:rPr>
          <w:rFonts w:asciiTheme="minorEastAsia" w:eastAsiaTheme="minorEastAsia" w:hAnsiTheme="minorEastAsia" w:hint="eastAsia"/>
          <w:b/>
          <w:bCs/>
          <w:color w:val="000000"/>
          <w:sz w:val="30"/>
          <w:szCs w:val="30"/>
        </w:rPr>
        <w:t>研究方法</w:t>
      </w:r>
    </w:p>
    <w:p w:rsidR="004673B9" w:rsidRPr="00BD2045" w:rsidRDefault="00174DA1" w:rsidP="00174DA1">
      <w:pPr>
        <w:spacing w:line="288" w:lineRule="auto"/>
        <w:ind w:firstLineChars="200" w:firstLine="480"/>
        <w:rPr>
          <w:rFonts w:ascii="宋体" w:hAnsi="宋体"/>
          <w:sz w:val="24"/>
          <w:szCs w:val="24"/>
        </w:rPr>
      </w:pPr>
      <w:r>
        <w:rPr>
          <w:rFonts w:ascii="宋体" w:hAnsi="宋体" w:hint="eastAsia"/>
          <w:sz w:val="24"/>
          <w:szCs w:val="24"/>
        </w:rPr>
        <w:t>报告运用</w:t>
      </w:r>
      <w:r w:rsidRPr="00174DA1">
        <w:rPr>
          <w:rFonts w:ascii="宋体" w:hAnsi="宋体" w:hint="eastAsia"/>
          <w:sz w:val="24"/>
          <w:szCs w:val="24"/>
        </w:rPr>
        <w:t>文献综合研究法</w:t>
      </w:r>
      <w:r>
        <w:rPr>
          <w:rFonts w:ascii="宋体" w:hAnsi="宋体" w:hint="eastAsia"/>
          <w:sz w:val="24"/>
          <w:szCs w:val="24"/>
        </w:rPr>
        <w:t>，</w:t>
      </w:r>
      <w:r w:rsidRPr="00174DA1">
        <w:rPr>
          <w:rFonts w:ascii="宋体" w:hAnsi="宋体" w:hint="eastAsia"/>
          <w:sz w:val="24"/>
          <w:szCs w:val="24"/>
        </w:rPr>
        <w:t>搜集国内外有关贷款风险管理的文献资料，尤其是有关农村商业银行以及农村金融机构贷款风险管理的文献</w:t>
      </w:r>
      <w:r>
        <w:rPr>
          <w:rFonts w:ascii="宋体" w:hAnsi="宋体" w:hint="eastAsia"/>
          <w:sz w:val="24"/>
          <w:szCs w:val="24"/>
        </w:rPr>
        <w:t>，对其进行整理和归纳总结。整理有关农村金融机构贷款风险的理论等。报告通过</w:t>
      </w:r>
      <w:r w:rsidRPr="00174DA1">
        <w:rPr>
          <w:rFonts w:ascii="宋体" w:hAnsi="宋体" w:hint="eastAsia"/>
          <w:sz w:val="24"/>
          <w:szCs w:val="24"/>
        </w:rPr>
        <w:t>实证分析法</w:t>
      </w:r>
      <w:r>
        <w:rPr>
          <w:rFonts w:ascii="宋体" w:hAnsi="宋体" w:hint="eastAsia"/>
          <w:sz w:val="24"/>
          <w:szCs w:val="24"/>
        </w:rPr>
        <w:t>，</w:t>
      </w:r>
      <w:r w:rsidRPr="00174DA1">
        <w:rPr>
          <w:rFonts w:ascii="宋体" w:hAnsi="宋体" w:hint="eastAsia"/>
          <w:sz w:val="24"/>
          <w:szCs w:val="24"/>
        </w:rPr>
        <w:t>获取泰兴农村商业银行经营的状况以及其对贷款风险管理的情况，获得第一手的翔实资料，而后再结合理论做出分析。</w:t>
      </w:r>
      <w:r>
        <w:rPr>
          <w:rFonts w:ascii="宋体" w:hAnsi="宋体" w:hint="eastAsia"/>
          <w:sz w:val="24"/>
          <w:szCs w:val="24"/>
        </w:rPr>
        <w:t>报告运用</w:t>
      </w:r>
      <w:r w:rsidRPr="00174DA1">
        <w:rPr>
          <w:rFonts w:ascii="宋体" w:hAnsi="宋体" w:hint="eastAsia"/>
          <w:sz w:val="24"/>
          <w:szCs w:val="24"/>
        </w:rPr>
        <w:t>综合分析法</w:t>
      </w:r>
      <w:r>
        <w:rPr>
          <w:rFonts w:ascii="宋体" w:hAnsi="宋体" w:hint="eastAsia"/>
          <w:sz w:val="24"/>
          <w:szCs w:val="24"/>
        </w:rPr>
        <w:t>，</w:t>
      </w:r>
      <w:r w:rsidRPr="00174DA1">
        <w:rPr>
          <w:rFonts w:ascii="宋体" w:hAnsi="宋体" w:hint="eastAsia"/>
          <w:sz w:val="24"/>
          <w:szCs w:val="24"/>
        </w:rPr>
        <w:t>对所搜集的理论和实际资料进行系统分析，并得出研究结论，提出对策和建议。</w:t>
      </w:r>
    </w:p>
    <w:p w:rsidR="0052162E" w:rsidRDefault="00180DDD" w:rsidP="00575B45">
      <w:pPr>
        <w:pStyle w:val="reader-word-layer"/>
        <w:shd w:val="clear" w:color="auto" w:fill="FFFFFF"/>
        <w:spacing w:beforeLines="50" w:beforeAutospacing="0" w:afterLines="50" w:afterAutospacing="0"/>
        <w:ind w:firstLineChars="200" w:firstLine="602"/>
        <w:jc w:val="center"/>
        <w:outlineLvl w:val="0"/>
        <w:rPr>
          <w:rFonts w:asciiTheme="minorEastAsia" w:eastAsiaTheme="minorEastAsia" w:hAnsiTheme="minorEastAsia"/>
          <w:b/>
          <w:bCs/>
          <w:color w:val="000000"/>
          <w:sz w:val="30"/>
          <w:szCs w:val="30"/>
        </w:rPr>
      </w:pPr>
      <w:r w:rsidRPr="00180DDD">
        <w:rPr>
          <w:rFonts w:asciiTheme="minorEastAsia" w:eastAsiaTheme="minorEastAsia" w:hAnsiTheme="minorEastAsia" w:hint="eastAsia"/>
          <w:b/>
          <w:bCs/>
          <w:color w:val="000000"/>
          <w:sz w:val="30"/>
          <w:szCs w:val="30"/>
        </w:rPr>
        <w:t>五</w:t>
      </w:r>
      <w:r w:rsidR="006F4B4B" w:rsidRPr="00180DDD">
        <w:rPr>
          <w:rFonts w:asciiTheme="minorEastAsia" w:eastAsiaTheme="minorEastAsia" w:hAnsiTheme="minorEastAsia" w:hint="eastAsia"/>
          <w:b/>
          <w:bCs/>
          <w:color w:val="000000"/>
          <w:sz w:val="30"/>
          <w:szCs w:val="30"/>
        </w:rPr>
        <w:t>、</w:t>
      </w:r>
      <w:r w:rsidR="00121175">
        <w:rPr>
          <w:rFonts w:asciiTheme="minorEastAsia" w:eastAsiaTheme="minorEastAsia" w:hAnsiTheme="minorEastAsia" w:hint="eastAsia"/>
          <w:b/>
          <w:bCs/>
          <w:color w:val="000000"/>
          <w:sz w:val="30"/>
          <w:szCs w:val="30"/>
        </w:rPr>
        <w:t>江苏</w:t>
      </w:r>
      <w:r w:rsidR="00121175">
        <w:rPr>
          <w:rFonts w:asciiTheme="minorEastAsia" w:eastAsiaTheme="minorEastAsia" w:hAnsiTheme="minorEastAsia"/>
          <w:b/>
          <w:bCs/>
          <w:color w:val="000000"/>
          <w:sz w:val="30"/>
          <w:szCs w:val="30"/>
        </w:rPr>
        <w:t>泰兴农村商业银行信贷风险管理</w:t>
      </w:r>
      <w:r w:rsidR="006F4B4B" w:rsidRPr="00180DDD">
        <w:rPr>
          <w:rFonts w:asciiTheme="minorEastAsia" w:eastAsiaTheme="minorEastAsia" w:hAnsiTheme="minorEastAsia" w:hint="eastAsia"/>
          <w:b/>
          <w:bCs/>
          <w:color w:val="000000"/>
          <w:sz w:val="30"/>
          <w:szCs w:val="30"/>
        </w:rPr>
        <w:t>分析</w:t>
      </w:r>
    </w:p>
    <w:p w:rsidR="00FF011B" w:rsidRPr="00FF011B" w:rsidRDefault="0052162E" w:rsidP="00FF011B">
      <w:pPr>
        <w:pStyle w:val="reader-word-layer"/>
        <w:shd w:val="clear" w:color="auto" w:fill="FFFFFF"/>
        <w:spacing w:before="0" w:beforeAutospacing="0" w:after="0" w:afterAutospacing="0" w:line="288" w:lineRule="auto"/>
        <w:outlineLvl w:val="0"/>
        <w:rPr>
          <w:b/>
        </w:rPr>
      </w:pPr>
      <w:r w:rsidRPr="0052162E">
        <w:rPr>
          <w:rFonts w:hint="eastAsia"/>
          <w:b/>
        </w:rPr>
        <w:t>（一）</w:t>
      </w:r>
      <w:r w:rsidR="00FF011B">
        <w:rPr>
          <w:rFonts w:hint="eastAsia"/>
          <w:b/>
        </w:rPr>
        <w:t>江苏泰兴</w:t>
      </w:r>
      <w:r w:rsidR="00FF011B">
        <w:rPr>
          <w:b/>
        </w:rPr>
        <w:t>农村商业银行业务经营情况</w:t>
      </w:r>
    </w:p>
    <w:p w:rsidR="00FF011B" w:rsidRDefault="00FF011B" w:rsidP="002D0FD1">
      <w:pPr>
        <w:pStyle w:val="reader-word-layer"/>
        <w:shd w:val="clear" w:color="auto" w:fill="FFFFFF"/>
        <w:spacing w:before="0" w:beforeAutospacing="0" w:after="0" w:afterAutospacing="0" w:line="288" w:lineRule="auto"/>
        <w:ind w:firstLineChars="200" w:firstLine="480"/>
      </w:pPr>
      <w:r>
        <w:rPr>
          <w:rFonts w:hint="eastAsia"/>
        </w:rPr>
        <w:t>1.资产</w:t>
      </w:r>
      <w:r>
        <w:t>情况</w:t>
      </w:r>
    </w:p>
    <w:p w:rsidR="00FF011B" w:rsidRPr="00C20A54" w:rsidRDefault="00FF011B" w:rsidP="00FF011B">
      <w:pPr>
        <w:pStyle w:val="a6"/>
        <w:wordWrap w:val="0"/>
        <w:adjustRightInd w:val="0"/>
        <w:snapToGrid w:val="0"/>
        <w:spacing w:before="0" w:beforeAutospacing="0" w:after="0" w:afterAutospacing="0" w:line="200" w:lineRule="atLeast"/>
        <w:jc w:val="right"/>
        <w:rPr>
          <w:rStyle w:val="ab"/>
          <w:rFonts w:ascii="黑体" w:eastAsia="黑体" w:hAnsi="黑体"/>
          <w:b w:val="0"/>
          <w:sz w:val="21"/>
          <w:szCs w:val="21"/>
        </w:rPr>
      </w:pPr>
      <w:r w:rsidRPr="00C20A54">
        <w:rPr>
          <w:rStyle w:val="ab"/>
          <w:rFonts w:ascii="黑体" w:eastAsia="黑体" w:hAnsi="黑体" w:hint="eastAsia"/>
          <w:b w:val="0"/>
          <w:sz w:val="21"/>
          <w:szCs w:val="21"/>
        </w:rPr>
        <w:t xml:space="preserve">表1   </w:t>
      </w:r>
      <w:r w:rsidRPr="00C20A54">
        <w:rPr>
          <w:rStyle w:val="ab"/>
          <w:rFonts w:ascii="黑体" w:eastAsia="黑体" w:hAnsi="黑体"/>
          <w:b w:val="0"/>
          <w:sz w:val="21"/>
          <w:szCs w:val="21"/>
        </w:rPr>
        <w:t>2008—2012</w:t>
      </w:r>
      <w:r w:rsidRPr="00C20A54">
        <w:rPr>
          <w:rStyle w:val="ab"/>
          <w:rFonts w:ascii="黑体" w:eastAsia="黑体" w:hAnsi="黑体" w:hint="eastAsia"/>
          <w:b w:val="0"/>
          <w:sz w:val="21"/>
          <w:szCs w:val="21"/>
        </w:rPr>
        <w:t>年的资产情况单位：万元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651"/>
        <w:gridCol w:w="1683"/>
        <w:gridCol w:w="1823"/>
        <w:gridCol w:w="1683"/>
        <w:gridCol w:w="1682"/>
      </w:tblGrid>
      <w:tr w:rsidR="00FF011B" w:rsidRPr="00C20A54" w:rsidTr="00E336E6">
        <w:trPr>
          <w:trHeight w:val="321"/>
        </w:trPr>
        <w:tc>
          <w:tcPr>
            <w:tcW w:w="968"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p>
        </w:tc>
        <w:tc>
          <w:tcPr>
            <w:tcW w:w="987"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资产期初数</w:t>
            </w:r>
          </w:p>
        </w:tc>
        <w:tc>
          <w:tcPr>
            <w:tcW w:w="1069"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资产期末数</w:t>
            </w:r>
          </w:p>
        </w:tc>
        <w:tc>
          <w:tcPr>
            <w:tcW w:w="987"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增长数额</w:t>
            </w:r>
          </w:p>
        </w:tc>
        <w:tc>
          <w:tcPr>
            <w:tcW w:w="987"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增长率</w:t>
            </w:r>
          </w:p>
        </w:tc>
      </w:tr>
      <w:tr w:rsidR="00FF011B" w:rsidRPr="00C20A54" w:rsidTr="00E336E6">
        <w:trPr>
          <w:trHeight w:val="268"/>
        </w:trPr>
        <w:tc>
          <w:tcPr>
            <w:tcW w:w="968" w:type="pct"/>
            <w:tcBorders>
              <w:top w:val="single" w:sz="12" w:space="0" w:color="000000"/>
              <w:left w:val="nil"/>
              <w:bottom w:val="nil"/>
              <w:right w:val="nil"/>
            </w:tcBorders>
          </w:tcPr>
          <w:p w:rsidR="00FF011B" w:rsidRPr="0084329F" w:rsidRDefault="00FF011B" w:rsidP="00E336E6">
            <w:pPr>
              <w:jc w:val="center"/>
              <w:rPr>
                <w:szCs w:val="21"/>
              </w:rPr>
            </w:pPr>
            <w:r w:rsidRPr="0084329F">
              <w:rPr>
                <w:szCs w:val="21"/>
              </w:rPr>
              <w:t>2008</w:t>
            </w:r>
          </w:p>
        </w:tc>
        <w:tc>
          <w:tcPr>
            <w:tcW w:w="987" w:type="pct"/>
            <w:tcBorders>
              <w:top w:val="single" w:sz="12" w:space="0" w:color="000000"/>
              <w:left w:val="nil"/>
              <w:bottom w:val="nil"/>
              <w:right w:val="nil"/>
            </w:tcBorders>
          </w:tcPr>
          <w:p w:rsidR="00FF011B" w:rsidRPr="0084329F" w:rsidRDefault="00FF011B" w:rsidP="00E336E6">
            <w:pPr>
              <w:jc w:val="center"/>
              <w:rPr>
                <w:szCs w:val="21"/>
              </w:rPr>
            </w:pPr>
            <w:r w:rsidRPr="0084329F">
              <w:rPr>
                <w:szCs w:val="21"/>
              </w:rPr>
              <w:t>474901.05</w:t>
            </w:r>
          </w:p>
        </w:tc>
        <w:tc>
          <w:tcPr>
            <w:tcW w:w="1069" w:type="pct"/>
            <w:tcBorders>
              <w:top w:val="single" w:sz="12" w:space="0" w:color="000000"/>
              <w:left w:val="nil"/>
              <w:bottom w:val="nil"/>
              <w:right w:val="nil"/>
            </w:tcBorders>
          </w:tcPr>
          <w:p w:rsidR="00FF011B" w:rsidRPr="0084329F" w:rsidRDefault="00FF011B" w:rsidP="00E336E6">
            <w:pPr>
              <w:jc w:val="center"/>
              <w:rPr>
                <w:szCs w:val="21"/>
              </w:rPr>
            </w:pPr>
            <w:r w:rsidRPr="0084329F">
              <w:rPr>
                <w:szCs w:val="21"/>
              </w:rPr>
              <w:t>549476.74</w:t>
            </w:r>
          </w:p>
        </w:tc>
        <w:tc>
          <w:tcPr>
            <w:tcW w:w="987" w:type="pct"/>
            <w:tcBorders>
              <w:top w:val="single" w:sz="12" w:space="0" w:color="000000"/>
              <w:left w:val="nil"/>
              <w:bottom w:val="nil"/>
              <w:right w:val="nil"/>
            </w:tcBorders>
          </w:tcPr>
          <w:p w:rsidR="00FF011B" w:rsidRPr="0084329F" w:rsidRDefault="00FF011B" w:rsidP="00E336E6">
            <w:pPr>
              <w:jc w:val="center"/>
              <w:rPr>
                <w:szCs w:val="21"/>
              </w:rPr>
            </w:pPr>
            <w:r w:rsidRPr="0084329F">
              <w:rPr>
                <w:szCs w:val="21"/>
              </w:rPr>
              <w:t>74575.69</w:t>
            </w:r>
          </w:p>
        </w:tc>
        <w:tc>
          <w:tcPr>
            <w:tcW w:w="987" w:type="pct"/>
            <w:tcBorders>
              <w:top w:val="single" w:sz="12" w:space="0" w:color="000000"/>
              <w:left w:val="nil"/>
              <w:bottom w:val="nil"/>
              <w:right w:val="nil"/>
            </w:tcBorders>
          </w:tcPr>
          <w:p w:rsidR="00FF011B" w:rsidRPr="0084329F" w:rsidRDefault="00FF011B" w:rsidP="00E336E6">
            <w:pPr>
              <w:jc w:val="center"/>
              <w:rPr>
                <w:szCs w:val="21"/>
              </w:rPr>
            </w:pPr>
            <w:r w:rsidRPr="0084329F">
              <w:rPr>
                <w:szCs w:val="21"/>
              </w:rPr>
              <w:t>15.70%</w:t>
            </w:r>
          </w:p>
        </w:tc>
      </w:tr>
      <w:tr w:rsidR="00FF011B" w:rsidRPr="00C20A54" w:rsidTr="00E336E6">
        <w:trPr>
          <w:trHeight w:val="359"/>
        </w:trPr>
        <w:tc>
          <w:tcPr>
            <w:tcW w:w="968" w:type="pct"/>
            <w:tcBorders>
              <w:top w:val="nil"/>
              <w:left w:val="nil"/>
              <w:bottom w:val="nil"/>
              <w:right w:val="nil"/>
            </w:tcBorders>
          </w:tcPr>
          <w:p w:rsidR="00FF011B" w:rsidRPr="0084329F" w:rsidRDefault="00FF011B" w:rsidP="00E336E6">
            <w:pPr>
              <w:jc w:val="center"/>
              <w:rPr>
                <w:szCs w:val="21"/>
              </w:rPr>
            </w:pPr>
            <w:r w:rsidRPr="0084329F">
              <w:rPr>
                <w:szCs w:val="21"/>
              </w:rPr>
              <w:t>2009</w:t>
            </w:r>
          </w:p>
        </w:tc>
        <w:tc>
          <w:tcPr>
            <w:tcW w:w="987" w:type="pct"/>
            <w:tcBorders>
              <w:top w:val="nil"/>
              <w:left w:val="nil"/>
              <w:bottom w:val="nil"/>
              <w:right w:val="nil"/>
            </w:tcBorders>
          </w:tcPr>
          <w:p w:rsidR="00FF011B" w:rsidRPr="0084329F" w:rsidRDefault="00FF011B" w:rsidP="00E336E6">
            <w:pPr>
              <w:jc w:val="center"/>
              <w:rPr>
                <w:szCs w:val="21"/>
              </w:rPr>
            </w:pPr>
            <w:r w:rsidRPr="0084329F">
              <w:rPr>
                <w:szCs w:val="21"/>
              </w:rPr>
              <w:t>549476.74</w:t>
            </w:r>
          </w:p>
        </w:tc>
        <w:tc>
          <w:tcPr>
            <w:tcW w:w="1069" w:type="pct"/>
            <w:tcBorders>
              <w:top w:val="nil"/>
              <w:left w:val="nil"/>
              <w:bottom w:val="nil"/>
              <w:right w:val="nil"/>
            </w:tcBorders>
          </w:tcPr>
          <w:p w:rsidR="00FF011B" w:rsidRPr="0084329F" w:rsidRDefault="00FF011B" w:rsidP="00E336E6">
            <w:pPr>
              <w:jc w:val="center"/>
              <w:rPr>
                <w:szCs w:val="21"/>
              </w:rPr>
            </w:pPr>
            <w:r w:rsidRPr="0084329F">
              <w:rPr>
                <w:szCs w:val="21"/>
              </w:rPr>
              <w:t>678444.12</w:t>
            </w:r>
          </w:p>
        </w:tc>
        <w:tc>
          <w:tcPr>
            <w:tcW w:w="987" w:type="pct"/>
            <w:tcBorders>
              <w:top w:val="nil"/>
              <w:left w:val="nil"/>
              <w:bottom w:val="nil"/>
              <w:right w:val="nil"/>
            </w:tcBorders>
          </w:tcPr>
          <w:p w:rsidR="00FF011B" w:rsidRPr="0084329F" w:rsidRDefault="00FF011B" w:rsidP="00E336E6">
            <w:pPr>
              <w:jc w:val="center"/>
              <w:rPr>
                <w:szCs w:val="21"/>
              </w:rPr>
            </w:pPr>
            <w:r w:rsidRPr="0084329F">
              <w:rPr>
                <w:szCs w:val="21"/>
              </w:rPr>
              <w:t>128967.38</w:t>
            </w:r>
          </w:p>
        </w:tc>
        <w:tc>
          <w:tcPr>
            <w:tcW w:w="987" w:type="pct"/>
            <w:tcBorders>
              <w:top w:val="nil"/>
              <w:left w:val="nil"/>
              <w:bottom w:val="nil"/>
              <w:right w:val="nil"/>
            </w:tcBorders>
          </w:tcPr>
          <w:p w:rsidR="00FF011B" w:rsidRPr="0084329F" w:rsidRDefault="00FF011B" w:rsidP="00E336E6">
            <w:pPr>
              <w:jc w:val="center"/>
              <w:rPr>
                <w:szCs w:val="21"/>
              </w:rPr>
            </w:pPr>
            <w:r w:rsidRPr="0084329F">
              <w:rPr>
                <w:szCs w:val="21"/>
              </w:rPr>
              <w:t>23.47%</w:t>
            </w:r>
          </w:p>
        </w:tc>
      </w:tr>
      <w:tr w:rsidR="00FF011B" w:rsidRPr="00C20A54" w:rsidTr="00E336E6">
        <w:trPr>
          <w:trHeight w:val="293"/>
        </w:trPr>
        <w:tc>
          <w:tcPr>
            <w:tcW w:w="968" w:type="pct"/>
            <w:tcBorders>
              <w:top w:val="nil"/>
              <w:left w:val="nil"/>
              <w:bottom w:val="nil"/>
              <w:right w:val="nil"/>
            </w:tcBorders>
          </w:tcPr>
          <w:p w:rsidR="00FF011B" w:rsidRPr="0084329F" w:rsidRDefault="00FF011B" w:rsidP="00E336E6">
            <w:pPr>
              <w:jc w:val="center"/>
              <w:rPr>
                <w:bCs/>
                <w:szCs w:val="21"/>
              </w:rPr>
            </w:pPr>
            <w:r w:rsidRPr="0084329F">
              <w:rPr>
                <w:bCs/>
                <w:szCs w:val="21"/>
              </w:rPr>
              <w:t>2010</w:t>
            </w:r>
          </w:p>
        </w:tc>
        <w:tc>
          <w:tcPr>
            <w:tcW w:w="987" w:type="pct"/>
            <w:tcBorders>
              <w:top w:val="nil"/>
              <w:left w:val="nil"/>
              <w:bottom w:val="nil"/>
              <w:right w:val="nil"/>
            </w:tcBorders>
          </w:tcPr>
          <w:p w:rsidR="00FF011B" w:rsidRPr="0084329F" w:rsidRDefault="00FF011B" w:rsidP="00E336E6">
            <w:pPr>
              <w:jc w:val="center"/>
              <w:rPr>
                <w:bCs/>
                <w:szCs w:val="21"/>
              </w:rPr>
            </w:pPr>
            <w:r w:rsidRPr="0084329F">
              <w:rPr>
                <w:bCs/>
                <w:szCs w:val="21"/>
              </w:rPr>
              <w:t>678444.12</w:t>
            </w:r>
          </w:p>
        </w:tc>
        <w:tc>
          <w:tcPr>
            <w:tcW w:w="1069" w:type="pct"/>
            <w:tcBorders>
              <w:top w:val="nil"/>
              <w:left w:val="nil"/>
              <w:bottom w:val="nil"/>
              <w:right w:val="nil"/>
            </w:tcBorders>
          </w:tcPr>
          <w:p w:rsidR="00FF011B" w:rsidRPr="0084329F" w:rsidRDefault="00FF011B" w:rsidP="00E336E6">
            <w:pPr>
              <w:jc w:val="center"/>
              <w:rPr>
                <w:bCs/>
                <w:szCs w:val="21"/>
              </w:rPr>
            </w:pPr>
            <w:r w:rsidRPr="0084329F">
              <w:rPr>
                <w:bCs/>
                <w:szCs w:val="21"/>
              </w:rPr>
              <w:t>818228.43</w:t>
            </w:r>
          </w:p>
        </w:tc>
        <w:tc>
          <w:tcPr>
            <w:tcW w:w="987" w:type="pct"/>
            <w:tcBorders>
              <w:top w:val="nil"/>
              <w:left w:val="nil"/>
              <w:bottom w:val="nil"/>
              <w:right w:val="nil"/>
            </w:tcBorders>
          </w:tcPr>
          <w:p w:rsidR="00FF011B" w:rsidRPr="0084329F" w:rsidRDefault="00FF011B" w:rsidP="00E336E6">
            <w:pPr>
              <w:jc w:val="center"/>
              <w:rPr>
                <w:bCs/>
                <w:szCs w:val="21"/>
              </w:rPr>
            </w:pPr>
            <w:r w:rsidRPr="0084329F">
              <w:rPr>
                <w:bCs/>
                <w:szCs w:val="21"/>
              </w:rPr>
              <w:t>139784.31</w:t>
            </w:r>
          </w:p>
        </w:tc>
        <w:tc>
          <w:tcPr>
            <w:tcW w:w="987" w:type="pct"/>
            <w:tcBorders>
              <w:top w:val="nil"/>
              <w:left w:val="nil"/>
              <w:bottom w:val="nil"/>
              <w:right w:val="nil"/>
            </w:tcBorders>
          </w:tcPr>
          <w:p w:rsidR="00FF011B" w:rsidRPr="0084329F" w:rsidRDefault="00FF011B" w:rsidP="00E336E6">
            <w:pPr>
              <w:jc w:val="center"/>
              <w:rPr>
                <w:bCs/>
                <w:szCs w:val="21"/>
              </w:rPr>
            </w:pPr>
            <w:r w:rsidRPr="0084329F">
              <w:rPr>
                <w:bCs/>
                <w:szCs w:val="21"/>
              </w:rPr>
              <w:t>20.60%</w:t>
            </w:r>
          </w:p>
        </w:tc>
      </w:tr>
      <w:tr w:rsidR="00FF011B" w:rsidRPr="00C20A54" w:rsidTr="00E336E6">
        <w:trPr>
          <w:trHeight w:val="241"/>
        </w:trPr>
        <w:tc>
          <w:tcPr>
            <w:tcW w:w="968" w:type="pct"/>
            <w:tcBorders>
              <w:top w:val="nil"/>
              <w:left w:val="nil"/>
              <w:bottom w:val="nil"/>
              <w:right w:val="nil"/>
            </w:tcBorders>
          </w:tcPr>
          <w:p w:rsidR="00FF011B" w:rsidRPr="0084329F" w:rsidRDefault="00FF011B" w:rsidP="00E336E6">
            <w:pPr>
              <w:jc w:val="center"/>
              <w:rPr>
                <w:bCs/>
                <w:szCs w:val="21"/>
              </w:rPr>
            </w:pPr>
            <w:r w:rsidRPr="0084329F">
              <w:rPr>
                <w:bCs/>
                <w:szCs w:val="21"/>
              </w:rPr>
              <w:t>2011</w:t>
            </w:r>
          </w:p>
        </w:tc>
        <w:tc>
          <w:tcPr>
            <w:tcW w:w="987" w:type="pct"/>
            <w:tcBorders>
              <w:top w:val="nil"/>
              <w:left w:val="nil"/>
              <w:bottom w:val="nil"/>
              <w:right w:val="nil"/>
            </w:tcBorders>
          </w:tcPr>
          <w:p w:rsidR="00FF011B" w:rsidRPr="0084329F" w:rsidRDefault="00FF011B" w:rsidP="00E336E6">
            <w:pPr>
              <w:jc w:val="center"/>
              <w:rPr>
                <w:bCs/>
                <w:szCs w:val="21"/>
              </w:rPr>
            </w:pPr>
            <w:r w:rsidRPr="0084329F">
              <w:rPr>
                <w:bCs/>
                <w:szCs w:val="21"/>
              </w:rPr>
              <w:t>818228.43</w:t>
            </w:r>
          </w:p>
        </w:tc>
        <w:tc>
          <w:tcPr>
            <w:tcW w:w="1069" w:type="pct"/>
            <w:tcBorders>
              <w:top w:val="nil"/>
              <w:left w:val="nil"/>
              <w:bottom w:val="nil"/>
              <w:right w:val="nil"/>
            </w:tcBorders>
          </w:tcPr>
          <w:p w:rsidR="00FF011B" w:rsidRPr="0084329F" w:rsidRDefault="00FF011B" w:rsidP="00E336E6">
            <w:pPr>
              <w:jc w:val="center"/>
              <w:rPr>
                <w:bCs/>
                <w:szCs w:val="21"/>
              </w:rPr>
            </w:pPr>
            <w:r w:rsidRPr="0084329F">
              <w:rPr>
                <w:bCs/>
                <w:szCs w:val="21"/>
              </w:rPr>
              <w:t>1015481.53</w:t>
            </w:r>
          </w:p>
        </w:tc>
        <w:tc>
          <w:tcPr>
            <w:tcW w:w="987" w:type="pct"/>
            <w:tcBorders>
              <w:top w:val="nil"/>
              <w:left w:val="nil"/>
              <w:bottom w:val="nil"/>
              <w:right w:val="nil"/>
            </w:tcBorders>
          </w:tcPr>
          <w:p w:rsidR="00FF011B" w:rsidRPr="0084329F" w:rsidRDefault="00FF011B" w:rsidP="00E336E6">
            <w:pPr>
              <w:jc w:val="center"/>
              <w:rPr>
                <w:bCs/>
                <w:szCs w:val="21"/>
              </w:rPr>
            </w:pPr>
            <w:r w:rsidRPr="0084329F">
              <w:rPr>
                <w:bCs/>
                <w:szCs w:val="21"/>
              </w:rPr>
              <w:t>197253.10</w:t>
            </w:r>
          </w:p>
        </w:tc>
        <w:tc>
          <w:tcPr>
            <w:tcW w:w="987" w:type="pct"/>
            <w:tcBorders>
              <w:top w:val="nil"/>
              <w:left w:val="nil"/>
              <w:bottom w:val="nil"/>
              <w:right w:val="nil"/>
            </w:tcBorders>
          </w:tcPr>
          <w:p w:rsidR="00FF011B" w:rsidRPr="0084329F" w:rsidRDefault="00FF011B" w:rsidP="00E336E6">
            <w:pPr>
              <w:jc w:val="center"/>
              <w:rPr>
                <w:bCs/>
                <w:szCs w:val="21"/>
              </w:rPr>
            </w:pPr>
            <w:r w:rsidRPr="0084329F">
              <w:rPr>
                <w:bCs/>
                <w:szCs w:val="21"/>
              </w:rPr>
              <w:t>24.11%</w:t>
            </w:r>
          </w:p>
        </w:tc>
      </w:tr>
      <w:tr w:rsidR="00FF011B" w:rsidRPr="00C20A54" w:rsidTr="00121175">
        <w:trPr>
          <w:trHeight w:val="257"/>
        </w:trPr>
        <w:tc>
          <w:tcPr>
            <w:tcW w:w="968" w:type="pct"/>
            <w:tcBorders>
              <w:top w:val="nil"/>
              <w:left w:val="nil"/>
              <w:bottom w:val="single" w:sz="12" w:space="0" w:color="000000"/>
              <w:right w:val="nil"/>
            </w:tcBorders>
          </w:tcPr>
          <w:p w:rsidR="00FF011B" w:rsidRPr="0084329F" w:rsidRDefault="00FF011B" w:rsidP="00E336E6">
            <w:pPr>
              <w:jc w:val="center"/>
              <w:rPr>
                <w:bCs/>
                <w:szCs w:val="21"/>
              </w:rPr>
            </w:pPr>
            <w:r w:rsidRPr="0084329F">
              <w:rPr>
                <w:bCs/>
                <w:szCs w:val="21"/>
              </w:rPr>
              <w:t>2012</w:t>
            </w:r>
          </w:p>
        </w:tc>
        <w:tc>
          <w:tcPr>
            <w:tcW w:w="987" w:type="pct"/>
            <w:tcBorders>
              <w:top w:val="nil"/>
              <w:left w:val="nil"/>
              <w:bottom w:val="single" w:sz="12" w:space="0" w:color="000000"/>
              <w:right w:val="nil"/>
            </w:tcBorders>
          </w:tcPr>
          <w:p w:rsidR="00FF011B" w:rsidRPr="0084329F" w:rsidRDefault="00FF011B" w:rsidP="00E336E6">
            <w:pPr>
              <w:jc w:val="center"/>
              <w:rPr>
                <w:bCs/>
                <w:szCs w:val="21"/>
              </w:rPr>
            </w:pPr>
            <w:r w:rsidRPr="0084329F">
              <w:rPr>
                <w:bCs/>
                <w:szCs w:val="21"/>
              </w:rPr>
              <w:t>1015481.53</w:t>
            </w:r>
          </w:p>
        </w:tc>
        <w:tc>
          <w:tcPr>
            <w:tcW w:w="1069" w:type="pct"/>
            <w:tcBorders>
              <w:top w:val="nil"/>
              <w:left w:val="nil"/>
              <w:bottom w:val="single" w:sz="12" w:space="0" w:color="000000"/>
              <w:right w:val="nil"/>
            </w:tcBorders>
          </w:tcPr>
          <w:p w:rsidR="00FF011B" w:rsidRPr="0084329F" w:rsidRDefault="00FF011B" w:rsidP="00E336E6">
            <w:pPr>
              <w:jc w:val="center"/>
              <w:rPr>
                <w:bCs/>
                <w:szCs w:val="21"/>
              </w:rPr>
            </w:pPr>
            <w:r w:rsidRPr="0084329F">
              <w:rPr>
                <w:bCs/>
                <w:szCs w:val="21"/>
              </w:rPr>
              <w:t>1211179.66</w:t>
            </w:r>
          </w:p>
        </w:tc>
        <w:tc>
          <w:tcPr>
            <w:tcW w:w="987" w:type="pct"/>
            <w:tcBorders>
              <w:top w:val="nil"/>
              <w:left w:val="nil"/>
              <w:bottom w:val="single" w:sz="12" w:space="0" w:color="000000"/>
              <w:right w:val="nil"/>
            </w:tcBorders>
          </w:tcPr>
          <w:p w:rsidR="00FF011B" w:rsidRPr="0084329F" w:rsidRDefault="00FF011B" w:rsidP="00E336E6">
            <w:pPr>
              <w:jc w:val="center"/>
              <w:rPr>
                <w:bCs/>
                <w:szCs w:val="21"/>
              </w:rPr>
            </w:pPr>
            <w:r w:rsidRPr="0084329F">
              <w:rPr>
                <w:bCs/>
                <w:szCs w:val="21"/>
              </w:rPr>
              <w:t>195698.23</w:t>
            </w:r>
          </w:p>
        </w:tc>
        <w:tc>
          <w:tcPr>
            <w:tcW w:w="987" w:type="pct"/>
            <w:tcBorders>
              <w:top w:val="nil"/>
              <w:left w:val="nil"/>
              <w:bottom w:val="single" w:sz="12" w:space="0" w:color="000000"/>
              <w:right w:val="nil"/>
            </w:tcBorders>
          </w:tcPr>
          <w:p w:rsidR="00FF011B" w:rsidRPr="0084329F" w:rsidRDefault="00FF011B" w:rsidP="00E336E6">
            <w:pPr>
              <w:jc w:val="center"/>
              <w:rPr>
                <w:bCs/>
                <w:szCs w:val="21"/>
              </w:rPr>
            </w:pPr>
            <w:r w:rsidRPr="0084329F">
              <w:rPr>
                <w:bCs/>
                <w:szCs w:val="21"/>
              </w:rPr>
              <w:t>19.27%</w:t>
            </w:r>
          </w:p>
        </w:tc>
      </w:tr>
    </w:tbl>
    <w:p w:rsidR="00FF011B" w:rsidRDefault="00FF011B" w:rsidP="00FF011B">
      <w:pPr>
        <w:pStyle w:val="reader-word-layer"/>
        <w:shd w:val="clear" w:color="auto" w:fill="FFFFFF"/>
        <w:spacing w:before="0" w:beforeAutospacing="0" w:after="0" w:afterAutospacing="0" w:line="288" w:lineRule="auto"/>
        <w:ind w:firstLineChars="200" w:firstLine="480"/>
      </w:pPr>
      <w:r w:rsidRPr="00CF5529">
        <w:t>2012</w:t>
      </w:r>
      <w:r w:rsidRPr="00CF5529">
        <w:rPr>
          <w:rFonts w:hint="eastAsia"/>
        </w:rPr>
        <w:t>年末资产总额达到了</w:t>
      </w:r>
      <w:r w:rsidRPr="00CF5529">
        <w:t>1211179.66</w:t>
      </w:r>
      <w:r w:rsidRPr="00CF5529">
        <w:rPr>
          <w:rFonts w:hint="eastAsia"/>
        </w:rPr>
        <w:t>万元</w:t>
      </w:r>
      <w:r>
        <w:rPr>
          <w:rFonts w:hint="eastAsia"/>
        </w:rPr>
        <w:t>，可以看出泰兴</w:t>
      </w:r>
      <w:r w:rsidRPr="00CF5529">
        <w:rPr>
          <w:rFonts w:hint="eastAsia"/>
        </w:rPr>
        <w:t>农村商业银行的资产是很充足的</w:t>
      </w:r>
      <w:r>
        <w:rPr>
          <w:rFonts w:hint="eastAsia"/>
        </w:rPr>
        <w:t>，</w:t>
      </w:r>
      <w:r w:rsidRPr="00CF5529">
        <w:rPr>
          <w:rFonts w:hint="eastAsia"/>
        </w:rPr>
        <w:t>全行的发展状况相当良好。</w:t>
      </w:r>
      <w:r w:rsidRPr="00B272C0">
        <w:rPr>
          <w:rFonts w:hint="eastAsia"/>
        </w:rPr>
        <w:t>发放贷款占资产大约有</w:t>
      </w:r>
      <w:r w:rsidRPr="00B272C0">
        <w:t>63.16%</w:t>
      </w:r>
      <w:r w:rsidRPr="00B272C0">
        <w:rPr>
          <w:rFonts w:hint="eastAsia"/>
        </w:rPr>
        <w:t>，现金及存放中央银行款项占据大约</w:t>
      </w:r>
      <w:r w:rsidRPr="00B272C0">
        <w:t>17.97%</w:t>
      </w:r>
      <w:r>
        <w:rPr>
          <w:rFonts w:hint="eastAsia"/>
        </w:rPr>
        <w:t>。</w:t>
      </w:r>
      <w:r w:rsidRPr="00B272C0">
        <w:t>2012</w:t>
      </w:r>
      <w:r w:rsidRPr="00B272C0">
        <w:rPr>
          <w:rFonts w:hint="eastAsia"/>
        </w:rPr>
        <w:t>年的贷款中短期贷款占据大约</w:t>
      </w:r>
      <w:r w:rsidRPr="00B272C0">
        <w:t>75%</w:t>
      </w:r>
      <w:r w:rsidRPr="00B272C0">
        <w:rPr>
          <w:rFonts w:hint="eastAsia"/>
        </w:rPr>
        <w:t>，中长期贷款和贴现及买断式转贴现各占贷款额的</w:t>
      </w:r>
      <w:r w:rsidRPr="00B272C0">
        <w:t>13%</w:t>
      </w:r>
      <w:r w:rsidRPr="00B272C0">
        <w:rPr>
          <w:rFonts w:hint="eastAsia"/>
        </w:rPr>
        <w:t>和</w:t>
      </w:r>
      <w:r w:rsidRPr="00B272C0">
        <w:t>12%</w:t>
      </w:r>
      <w:r>
        <w:rPr>
          <w:rFonts w:hint="eastAsia"/>
        </w:rPr>
        <w:t>。</w:t>
      </w:r>
    </w:p>
    <w:p w:rsidR="00FF011B" w:rsidRDefault="00FF011B" w:rsidP="00FF011B">
      <w:pPr>
        <w:pStyle w:val="reader-word-layer"/>
        <w:shd w:val="clear" w:color="auto" w:fill="FFFFFF"/>
        <w:spacing w:before="0" w:beforeAutospacing="0" w:after="0" w:afterAutospacing="0" w:line="288" w:lineRule="auto"/>
        <w:ind w:firstLineChars="200" w:firstLine="480"/>
      </w:pPr>
      <w:r>
        <w:rPr>
          <w:rFonts w:hint="eastAsia"/>
        </w:rPr>
        <w:t>2.负债</w:t>
      </w:r>
      <w:r>
        <w:t>情况</w:t>
      </w:r>
    </w:p>
    <w:p w:rsidR="00FF011B" w:rsidRPr="0088218E" w:rsidRDefault="00FF011B" w:rsidP="00FF011B">
      <w:pPr>
        <w:pStyle w:val="a6"/>
        <w:adjustRightInd w:val="0"/>
        <w:snapToGrid w:val="0"/>
        <w:spacing w:before="0" w:beforeAutospacing="0" w:after="0" w:afterAutospacing="0" w:line="240" w:lineRule="exact"/>
        <w:jc w:val="right"/>
        <w:rPr>
          <w:rFonts w:ascii="黑体" w:eastAsia="黑体" w:hAnsi="黑体"/>
          <w:bCs/>
          <w:sz w:val="21"/>
          <w:szCs w:val="21"/>
        </w:rPr>
      </w:pPr>
      <w:r w:rsidRPr="0088218E">
        <w:rPr>
          <w:rFonts w:ascii="黑体" w:eastAsia="黑体" w:hAnsi="黑体" w:hint="eastAsia"/>
          <w:bCs/>
          <w:sz w:val="21"/>
          <w:szCs w:val="21"/>
        </w:rPr>
        <w:t xml:space="preserve">表2   </w:t>
      </w:r>
      <w:r w:rsidRPr="0088218E">
        <w:rPr>
          <w:rFonts w:ascii="黑体" w:eastAsia="黑体" w:hAnsi="黑体"/>
          <w:bCs/>
          <w:sz w:val="21"/>
          <w:szCs w:val="21"/>
        </w:rPr>
        <w:t>2008—2012</w:t>
      </w:r>
      <w:r w:rsidRPr="0088218E">
        <w:rPr>
          <w:rFonts w:ascii="黑体" w:eastAsia="黑体" w:hAnsi="黑体" w:hint="eastAsia"/>
          <w:bCs/>
          <w:sz w:val="21"/>
          <w:szCs w:val="21"/>
        </w:rPr>
        <w:t>年的负债情况单位：万元</w:t>
      </w:r>
    </w:p>
    <w:tbl>
      <w:tblPr>
        <w:tblW w:w="506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25"/>
        <w:gridCol w:w="1726"/>
        <w:gridCol w:w="1726"/>
        <w:gridCol w:w="1726"/>
        <w:gridCol w:w="1726"/>
      </w:tblGrid>
      <w:tr w:rsidR="00FF011B" w:rsidRPr="0084329F" w:rsidTr="00121175">
        <w:trPr>
          <w:trHeight w:val="261"/>
        </w:trPr>
        <w:tc>
          <w:tcPr>
            <w:tcW w:w="1000"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p>
        </w:tc>
        <w:tc>
          <w:tcPr>
            <w:tcW w:w="1000"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负债期初数</w:t>
            </w:r>
          </w:p>
        </w:tc>
        <w:tc>
          <w:tcPr>
            <w:tcW w:w="1000"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负债期末数</w:t>
            </w:r>
          </w:p>
        </w:tc>
        <w:tc>
          <w:tcPr>
            <w:tcW w:w="1000"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增长数额</w:t>
            </w:r>
          </w:p>
        </w:tc>
        <w:tc>
          <w:tcPr>
            <w:tcW w:w="1000"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增长率</w:t>
            </w:r>
          </w:p>
        </w:tc>
      </w:tr>
      <w:tr w:rsidR="00FF011B" w:rsidRPr="0084329F" w:rsidTr="00121175">
        <w:trPr>
          <w:trHeight w:val="261"/>
        </w:trPr>
        <w:tc>
          <w:tcPr>
            <w:tcW w:w="1000" w:type="pct"/>
            <w:tcBorders>
              <w:top w:val="single" w:sz="12" w:space="0" w:color="000000"/>
              <w:left w:val="nil"/>
              <w:bottom w:val="nil"/>
              <w:right w:val="nil"/>
            </w:tcBorders>
          </w:tcPr>
          <w:p w:rsidR="00FF011B" w:rsidRPr="0084329F" w:rsidRDefault="00FF011B" w:rsidP="00E336E6">
            <w:pPr>
              <w:jc w:val="center"/>
              <w:rPr>
                <w:szCs w:val="21"/>
              </w:rPr>
            </w:pPr>
            <w:r w:rsidRPr="0084329F">
              <w:rPr>
                <w:szCs w:val="21"/>
              </w:rPr>
              <w:t>2008</w:t>
            </w:r>
          </w:p>
        </w:tc>
        <w:tc>
          <w:tcPr>
            <w:tcW w:w="1000" w:type="pct"/>
            <w:tcBorders>
              <w:top w:val="single" w:sz="12" w:space="0" w:color="000000"/>
              <w:left w:val="nil"/>
              <w:bottom w:val="nil"/>
              <w:right w:val="nil"/>
            </w:tcBorders>
          </w:tcPr>
          <w:p w:rsidR="00FF011B" w:rsidRPr="0084329F" w:rsidRDefault="00FF011B" w:rsidP="00E336E6">
            <w:pPr>
              <w:jc w:val="center"/>
              <w:rPr>
                <w:szCs w:val="21"/>
              </w:rPr>
            </w:pPr>
            <w:r w:rsidRPr="0084329F">
              <w:rPr>
                <w:szCs w:val="21"/>
              </w:rPr>
              <w:t>448440.88</w:t>
            </w:r>
          </w:p>
        </w:tc>
        <w:tc>
          <w:tcPr>
            <w:tcW w:w="1000" w:type="pct"/>
            <w:tcBorders>
              <w:top w:val="single" w:sz="12" w:space="0" w:color="000000"/>
              <w:left w:val="nil"/>
              <w:bottom w:val="nil"/>
              <w:right w:val="nil"/>
            </w:tcBorders>
          </w:tcPr>
          <w:p w:rsidR="00FF011B" w:rsidRPr="0084329F" w:rsidRDefault="00FF011B" w:rsidP="00E336E6">
            <w:pPr>
              <w:jc w:val="center"/>
              <w:rPr>
                <w:szCs w:val="21"/>
              </w:rPr>
            </w:pPr>
            <w:r w:rsidRPr="0084329F">
              <w:rPr>
                <w:szCs w:val="21"/>
              </w:rPr>
              <w:t>520897.19</w:t>
            </w:r>
          </w:p>
        </w:tc>
        <w:tc>
          <w:tcPr>
            <w:tcW w:w="1000" w:type="pct"/>
            <w:tcBorders>
              <w:top w:val="single" w:sz="12" w:space="0" w:color="000000"/>
              <w:left w:val="nil"/>
              <w:bottom w:val="nil"/>
              <w:right w:val="nil"/>
            </w:tcBorders>
          </w:tcPr>
          <w:p w:rsidR="00FF011B" w:rsidRPr="0084329F" w:rsidRDefault="00FF011B" w:rsidP="00E336E6">
            <w:pPr>
              <w:jc w:val="center"/>
              <w:rPr>
                <w:szCs w:val="21"/>
              </w:rPr>
            </w:pPr>
            <w:r w:rsidRPr="0084329F">
              <w:rPr>
                <w:szCs w:val="21"/>
              </w:rPr>
              <w:t>72456.31</w:t>
            </w:r>
          </w:p>
        </w:tc>
        <w:tc>
          <w:tcPr>
            <w:tcW w:w="1000" w:type="pct"/>
            <w:tcBorders>
              <w:top w:val="single" w:sz="12" w:space="0" w:color="000000"/>
              <w:left w:val="nil"/>
              <w:bottom w:val="nil"/>
              <w:right w:val="nil"/>
            </w:tcBorders>
          </w:tcPr>
          <w:p w:rsidR="00FF011B" w:rsidRPr="0084329F" w:rsidRDefault="00FF011B" w:rsidP="00E336E6">
            <w:pPr>
              <w:jc w:val="center"/>
              <w:rPr>
                <w:szCs w:val="21"/>
              </w:rPr>
            </w:pPr>
            <w:r w:rsidRPr="0084329F">
              <w:rPr>
                <w:szCs w:val="21"/>
              </w:rPr>
              <w:t>16.16%</w:t>
            </w:r>
          </w:p>
        </w:tc>
      </w:tr>
      <w:tr w:rsidR="00FF011B" w:rsidRPr="0084329F" w:rsidTr="00121175">
        <w:trPr>
          <w:trHeight w:val="249"/>
        </w:trPr>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2009</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520897.19</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641528.95</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120631.76</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23.16%</w:t>
            </w:r>
          </w:p>
        </w:tc>
      </w:tr>
      <w:tr w:rsidR="00FF011B" w:rsidRPr="0084329F" w:rsidTr="00121175">
        <w:trPr>
          <w:trHeight w:val="261"/>
        </w:trPr>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2010</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641528.95</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780737.24</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139208.29</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21.70%</w:t>
            </w:r>
          </w:p>
        </w:tc>
      </w:tr>
      <w:tr w:rsidR="00FF011B" w:rsidRPr="0084329F" w:rsidTr="00121175">
        <w:trPr>
          <w:trHeight w:val="261"/>
        </w:trPr>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2011</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780737.24</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944489.36</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163752.12</w:t>
            </w:r>
          </w:p>
        </w:tc>
        <w:tc>
          <w:tcPr>
            <w:tcW w:w="1000" w:type="pct"/>
            <w:tcBorders>
              <w:top w:val="nil"/>
              <w:left w:val="nil"/>
              <w:bottom w:val="nil"/>
              <w:right w:val="nil"/>
            </w:tcBorders>
          </w:tcPr>
          <w:p w:rsidR="00FF011B" w:rsidRPr="0084329F" w:rsidRDefault="00FF011B" w:rsidP="00E336E6">
            <w:pPr>
              <w:jc w:val="center"/>
              <w:rPr>
                <w:szCs w:val="21"/>
              </w:rPr>
            </w:pPr>
            <w:r w:rsidRPr="0084329F">
              <w:rPr>
                <w:szCs w:val="21"/>
              </w:rPr>
              <w:t>20.97%</w:t>
            </w:r>
          </w:p>
        </w:tc>
      </w:tr>
      <w:tr w:rsidR="00FF011B" w:rsidRPr="0084329F" w:rsidTr="00121175">
        <w:trPr>
          <w:trHeight w:val="209"/>
        </w:trPr>
        <w:tc>
          <w:tcPr>
            <w:tcW w:w="1000" w:type="pct"/>
            <w:tcBorders>
              <w:top w:val="nil"/>
              <w:left w:val="nil"/>
              <w:bottom w:val="single" w:sz="12" w:space="0" w:color="000000"/>
              <w:right w:val="nil"/>
            </w:tcBorders>
          </w:tcPr>
          <w:p w:rsidR="00FF011B" w:rsidRPr="0084329F" w:rsidRDefault="00FF011B" w:rsidP="00E336E6">
            <w:pPr>
              <w:jc w:val="center"/>
              <w:rPr>
                <w:szCs w:val="21"/>
              </w:rPr>
            </w:pPr>
            <w:r w:rsidRPr="0084329F">
              <w:rPr>
                <w:szCs w:val="21"/>
              </w:rPr>
              <w:t>2012</w:t>
            </w:r>
          </w:p>
        </w:tc>
        <w:tc>
          <w:tcPr>
            <w:tcW w:w="1000" w:type="pct"/>
            <w:tcBorders>
              <w:top w:val="nil"/>
              <w:left w:val="nil"/>
              <w:bottom w:val="single" w:sz="12" w:space="0" w:color="000000"/>
              <w:right w:val="nil"/>
            </w:tcBorders>
          </w:tcPr>
          <w:p w:rsidR="00FF011B" w:rsidRPr="0084329F" w:rsidRDefault="00FF011B" w:rsidP="00E336E6">
            <w:pPr>
              <w:jc w:val="center"/>
              <w:rPr>
                <w:szCs w:val="21"/>
              </w:rPr>
            </w:pPr>
            <w:r w:rsidRPr="0084329F">
              <w:rPr>
                <w:szCs w:val="21"/>
              </w:rPr>
              <w:t>944489.36</w:t>
            </w:r>
          </w:p>
        </w:tc>
        <w:tc>
          <w:tcPr>
            <w:tcW w:w="1000" w:type="pct"/>
            <w:tcBorders>
              <w:top w:val="nil"/>
              <w:left w:val="nil"/>
              <w:bottom w:val="single" w:sz="12" w:space="0" w:color="000000"/>
              <w:right w:val="nil"/>
            </w:tcBorders>
          </w:tcPr>
          <w:p w:rsidR="00FF011B" w:rsidRPr="0084329F" w:rsidRDefault="00FF011B" w:rsidP="00E336E6">
            <w:pPr>
              <w:jc w:val="center"/>
              <w:rPr>
                <w:szCs w:val="21"/>
              </w:rPr>
            </w:pPr>
            <w:r w:rsidRPr="0084329F">
              <w:rPr>
                <w:szCs w:val="21"/>
              </w:rPr>
              <w:t>1132611.71</w:t>
            </w:r>
          </w:p>
        </w:tc>
        <w:tc>
          <w:tcPr>
            <w:tcW w:w="1000" w:type="pct"/>
            <w:tcBorders>
              <w:top w:val="nil"/>
              <w:left w:val="nil"/>
              <w:bottom w:val="single" w:sz="12" w:space="0" w:color="000000"/>
              <w:right w:val="nil"/>
            </w:tcBorders>
          </w:tcPr>
          <w:p w:rsidR="00FF011B" w:rsidRPr="0084329F" w:rsidRDefault="00FF011B" w:rsidP="00E336E6">
            <w:pPr>
              <w:jc w:val="center"/>
              <w:rPr>
                <w:szCs w:val="21"/>
              </w:rPr>
            </w:pPr>
            <w:r w:rsidRPr="0084329F">
              <w:rPr>
                <w:szCs w:val="21"/>
              </w:rPr>
              <w:t>188122.35</w:t>
            </w:r>
          </w:p>
        </w:tc>
        <w:tc>
          <w:tcPr>
            <w:tcW w:w="1000" w:type="pct"/>
            <w:tcBorders>
              <w:top w:val="nil"/>
              <w:left w:val="nil"/>
              <w:bottom w:val="single" w:sz="12" w:space="0" w:color="000000"/>
              <w:right w:val="nil"/>
            </w:tcBorders>
          </w:tcPr>
          <w:p w:rsidR="00FF011B" w:rsidRPr="0084329F" w:rsidRDefault="00FF011B" w:rsidP="00E336E6">
            <w:pPr>
              <w:jc w:val="center"/>
              <w:rPr>
                <w:szCs w:val="21"/>
              </w:rPr>
            </w:pPr>
            <w:r w:rsidRPr="0084329F">
              <w:rPr>
                <w:szCs w:val="21"/>
              </w:rPr>
              <w:t>19.92%</w:t>
            </w:r>
          </w:p>
        </w:tc>
      </w:tr>
    </w:tbl>
    <w:p w:rsidR="00FF011B" w:rsidRDefault="00FF011B" w:rsidP="00FF011B">
      <w:pPr>
        <w:pStyle w:val="reader-word-layer"/>
        <w:shd w:val="clear" w:color="auto" w:fill="FFFFFF"/>
        <w:spacing w:before="0" w:beforeAutospacing="0" w:after="0" w:afterAutospacing="0" w:line="288" w:lineRule="auto"/>
        <w:ind w:firstLineChars="200" w:firstLine="480"/>
      </w:pPr>
      <w:r w:rsidRPr="00B272C0">
        <w:rPr>
          <w:rFonts w:hint="eastAsia"/>
        </w:rPr>
        <w:t>截至</w:t>
      </w:r>
      <w:r w:rsidRPr="00B272C0">
        <w:t>12</w:t>
      </w:r>
      <w:r w:rsidRPr="00B272C0">
        <w:rPr>
          <w:rFonts w:hint="eastAsia"/>
        </w:rPr>
        <w:t>年末，负债的总额为</w:t>
      </w:r>
      <w:r w:rsidRPr="00B272C0">
        <w:t>1132611.71</w:t>
      </w:r>
      <w:r w:rsidRPr="00B272C0">
        <w:rPr>
          <w:rFonts w:hint="eastAsia"/>
        </w:rPr>
        <w:t>万元，</w:t>
      </w:r>
      <w:r w:rsidRPr="00B272C0">
        <w:t>5</w:t>
      </w:r>
      <w:r w:rsidRPr="00B272C0">
        <w:rPr>
          <w:rFonts w:hint="eastAsia"/>
        </w:rPr>
        <w:t>年平均增长率约为</w:t>
      </w:r>
      <w:r w:rsidRPr="00B272C0">
        <w:t>20%</w:t>
      </w:r>
      <w:r w:rsidRPr="00B272C0">
        <w:rPr>
          <w:rFonts w:hint="eastAsia"/>
        </w:rPr>
        <w:t>。资产总额的增长速度是略大于负债总额的增长速度的。说明其偿债能力良好，资金安全性比较高。</w:t>
      </w:r>
      <w:r w:rsidRPr="00B272C0">
        <w:rPr>
          <w:rFonts w:hint="eastAsia"/>
          <w:bCs/>
        </w:rPr>
        <w:t>负债中占比最多是各项存款，达到了</w:t>
      </w:r>
      <w:r w:rsidRPr="00B272C0">
        <w:rPr>
          <w:bCs/>
        </w:rPr>
        <w:t>96.28%</w:t>
      </w:r>
      <w:r w:rsidRPr="00B272C0">
        <w:rPr>
          <w:rFonts w:hint="eastAsia"/>
          <w:bCs/>
        </w:rPr>
        <w:t>。各项存款的增长仍是负债增长的主要因素，存款的不断扩大也是负债不断增加的主要原因。</w:t>
      </w:r>
      <w:r w:rsidRPr="00D97F0A">
        <w:rPr>
          <w:rFonts w:hint="eastAsia"/>
        </w:rPr>
        <w:t>存款以个人存款为主，定期存款占比较大、逐年上升</w:t>
      </w:r>
      <w:r>
        <w:rPr>
          <w:rFonts w:hint="eastAsia"/>
        </w:rPr>
        <w:t>。</w:t>
      </w:r>
    </w:p>
    <w:p w:rsidR="00FF011B" w:rsidRDefault="00FF011B" w:rsidP="00FF011B">
      <w:pPr>
        <w:pStyle w:val="reader-word-layer"/>
        <w:shd w:val="clear" w:color="auto" w:fill="FFFFFF"/>
        <w:spacing w:before="0" w:beforeAutospacing="0" w:after="0" w:afterAutospacing="0" w:line="288" w:lineRule="auto"/>
        <w:ind w:firstLineChars="200" w:firstLine="480"/>
      </w:pPr>
      <w:r>
        <w:rPr>
          <w:rFonts w:hint="eastAsia"/>
        </w:rPr>
        <w:t>3.财务收支</w:t>
      </w:r>
      <w:r>
        <w:t>情况</w:t>
      </w:r>
    </w:p>
    <w:p w:rsidR="00FF011B" w:rsidRDefault="00FF011B" w:rsidP="00FF011B">
      <w:pPr>
        <w:pStyle w:val="reader-word-layer"/>
        <w:shd w:val="clear" w:color="auto" w:fill="FFFFFF"/>
        <w:spacing w:before="0" w:beforeAutospacing="0" w:after="0" w:afterAutospacing="0" w:line="288" w:lineRule="auto"/>
        <w:ind w:firstLineChars="200" w:firstLine="480"/>
      </w:pPr>
      <w:r>
        <w:rPr>
          <w:rFonts w:hint="eastAsia"/>
        </w:rPr>
        <w:t>（1</w:t>
      </w:r>
      <w:r>
        <w:t>）</w:t>
      </w:r>
      <w:r w:rsidRPr="00D97F0A">
        <w:rPr>
          <w:rFonts w:hint="eastAsia"/>
        </w:rPr>
        <w:t>营业收入情况</w:t>
      </w:r>
    </w:p>
    <w:p w:rsidR="00FF011B" w:rsidRPr="0084329F" w:rsidRDefault="00FF011B" w:rsidP="00FF011B">
      <w:pPr>
        <w:wordWrap w:val="0"/>
        <w:jc w:val="right"/>
        <w:rPr>
          <w:rFonts w:ascii="黑体" w:eastAsia="黑体" w:hAnsi="黑体"/>
          <w:szCs w:val="21"/>
        </w:rPr>
      </w:pPr>
      <w:r w:rsidRPr="0084329F">
        <w:rPr>
          <w:rFonts w:ascii="黑体" w:eastAsia="黑体" w:hAnsi="黑体" w:hint="eastAsia"/>
          <w:szCs w:val="21"/>
        </w:rPr>
        <w:t xml:space="preserve">表3   </w:t>
      </w:r>
      <w:r w:rsidRPr="0084329F">
        <w:rPr>
          <w:rFonts w:ascii="黑体" w:eastAsia="黑体" w:hAnsi="黑体"/>
          <w:szCs w:val="21"/>
        </w:rPr>
        <w:t>2008—2012</w:t>
      </w:r>
      <w:r w:rsidRPr="0084329F">
        <w:rPr>
          <w:rFonts w:ascii="黑体" w:eastAsia="黑体" w:hAnsi="黑体" w:hint="eastAsia"/>
          <w:szCs w:val="21"/>
        </w:rPr>
        <w:t>年的营业收入情况单位：万元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705"/>
        <w:gridCol w:w="1948"/>
        <w:gridCol w:w="1461"/>
        <w:gridCol w:w="1704"/>
        <w:gridCol w:w="1704"/>
      </w:tblGrid>
      <w:tr w:rsidR="00FF011B" w:rsidRPr="0084329F" w:rsidTr="00E336E6">
        <w:trPr>
          <w:trHeight w:val="264"/>
        </w:trPr>
        <w:tc>
          <w:tcPr>
            <w:tcW w:w="1000"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p>
        </w:tc>
        <w:tc>
          <w:tcPr>
            <w:tcW w:w="1143"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营业收入上年数</w:t>
            </w:r>
          </w:p>
        </w:tc>
        <w:tc>
          <w:tcPr>
            <w:tcW w:w="857"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营业收入本年累计数</w:t>
            </w:r>
          </w:p>
        </w:tc>
        <w:tc>
          <w:tcPr>
            <w:tcW w:w="1000"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增长数额</w:t>
            </w:r>
          </w:p>
        </w:tc>
        <w:tc>
          <w:tcPr>
            <w:tcW w:w="1000" w:type="pct"/>
            <w:tcBorders>
              <w:top w:val="single" w:sz="12" w:space="0" w:color="000000"/>
              <w:left w:val="nil"/>
              <w:bottom w:val="single" w:sz="12" w:space="0" w:color="000000"/>
              <w:right w:val="nil"/>
            </w:tcBorders>
          </w:tcPr>
          <w:p w:rsidR="00FF011B" w:rsidRPr="0084329F" w:rsidRDefault="00FF011B" w:rsidP="00E336E6">
            <w:pPr>
              <w:jc w:val="center"/>
              <w:rPr>
                <w:rFonts w:ascii="宋体" w:hAnsi="宋体"/>
                <w:szCs w:val="21"/>
              </w:rPr>
            </w:pPr>
            <w:r w:rsidRPr="0084329F">
              <w:rPr>
                <w:rFonts w:ascii="宋体" w:hAnsi="宋体" w:hint="eastAsia"/>
                <w:szCs w:val="21"/>
              </w:rPr>
              <w:t>增长率</w:t>
            </w:r>
          </w:p>
        </w:tc>
      </w:tr>
      <w:tr w:rsidR="00FF011B" w:rsidRPr="0088218E" w:rsidTr="00E336E6">
        <w:tc>
          <w:tcPr>
            <w:tcW w:w="1000" w:type="pct"/>
            <w:tcBorders>
              <w:top w:val="single" w:sz="12" w:space="0" w:color="000000"/>
              <w:left w:val="nil"/>
              <w:bottom w:val="nil"/>
              <w:right w:val="nil"/>
            </w:tcBorders>
          </w:tcPr>
          <w:p w:rsidR="00FF011B" w:rsidRPr="0084329F" w:rsidRDefault="00FF011B" w:rsidP="00E336E6">
            <w:pPr>
              <w:jc w:val="center"/>
              <w:rPr>
                <w:rFonts w:eastAsia="黑体"/>
                <w:szCs w:val="21"/>
              </w:rPr>
            </w:pPr>
            <w:r w:rsidRPr="0084329F">
              <w:rPr>
                <w:rFonts w:eastAsia="黑体"/>
                <w:szCs w:val="21"/>
              </w:rPr>
              <w:t>2008</w:t>
            </w:r>
          </w:p>
        </w:tc>
        <w:tc>
          <w:tcPr>
            <w:tcW w:w="1143" w:type="pct"/>
            <w:tcBorders>
              <w:top w:val="single" w:sz="12" w:space="0" w:color="000000"/>
              <w:left w:val="nil"/>
              <w:bottom w:val="nil"/>
              <w:right w:val="nil"/>
            </w:tcBorders>
          </w:tcPr>
          <w:p w:rsidR="00FF011B" w:rsidRPr="0084329F" w:rsidRDefault="00FF011B" w:rsidP="00E336E6">
            <w:pPr>
              <w:jc w:val="center"/>
              <w:rPr>
                <w:rFonts w:eastAsia="黑体"/>
                <w:szCs w:val="21"/>
              </w:rPr>
            </w:pPr>
            <w:r w:rsidRPr="0084329F">
              <w:rPr>
                <w:rFonts w:eastAsia="黑体"/>
                <w:szCs w:val="21"/>
              </w:rPr>
              <w:t>24579.77</w:t>
            </w:r>
          </w:p>
        </w:tc>
        <w:tc>
          <w:tcPr>
            <w:tcW w:w="857" w:type="pct"/>
            <w:tcBorders>
              <w:top w:val="single" w:sz="12" w:space="0" w:color="000000"/>
              <w:left w:val="nil"/>
              <w:bottom w:val="nil"/>
              <w:right w:val="nil"/>
            </w:tcBorders>
          </w:tcPr>
          <w:p w:rsidR="00FF011B" w:rsidRPr="0084329F" w:rsidRDefault="00FF011B" w:rsidP="00E336E6">
            <w:pPr>
              <w:jc w:val="center"/>
              <w:rPr>
                <w:rFonts w:eastAsia="黑体"/>
                <w:szCs w:val="21"/>
              </w:rPr>
            </w:pPr>
            <w:r w:rsidRPr="0084329F">
              <w:rPr>
                <w:rFonts w:eastAsia="黑体"/>
                <w:szCs w:val="21"/>
              </w:rPr>
              <w:t>31090.32</w:t>
            </w:r>
          </w:p>
        </w:tc>
        <w:tc>
          <w:tcPr>
            <w:tcW w:w="1000" w:type="pct"/>
            <w:tcBorders>
              <w:top w:val="single" w:sz="12" w:space="0" w:color="000000"/>
              <w:left w:val="nil"/>
              <w:bottom w:val="nil"/>
              <w:right w:val="nil"/>
            </w:tcBorders>
          </w:tcPr>
          <w:p w:rsidR="00FF011B" w:rsidRPr="0084329F" w:rsidRDefault="00FF011B" w:rsidP="00E336E6">
            <w:pPr>
              <w:jc w:val="center"/>
              <w:rPr>
                <w:rFonts w:eastAsia="黑体"/>
                <w:szCs w:val="21"/>
              </w:rPr>
            </w:pPr>
            <w:r w:rsidRPr="0084329F">
              <w:rPr>
                <w:rFonts w:eastAsia="黑体"/>
                <w:szCs w:val="21"/>
              </w:rPr>
              <w:t>6510.55</w:t>
            </w:r>
          </w:p>
        </w:tc>
        <w:tc>
          <w:tcPr>
            <w:tcW w:w="1000" w:type="pct"/>
            <w:tcBorders>
              <w:top w:val="single" w:sz="12" w:space="0" w:color="000000"/>
              <w:left w:val="nil"/>
              <w:bottom w:val="nil"/>
              <w:right w:val="nil"/>
            </w:tcBorders>
          </w:tcPr>
          <w:p w:rsidR="00FF011B" w:rsidRPr="0084329F" w:rsidRDefault="00FF011B" w:rsidP="00E336E6">
            <w:pPr>
              <w:jc w:val="center"/>
              <w:rPr>
                <w:rFonts w:eastAsia="黑体"/>
                <w:szCs w:val="21"/>
              </w:rPr>
            </w:pPr>
            <w:r w:rsidRPr="0084329F">
              <w:rPr>
                <w:rFonts w:eastAsia="黑体"/>
                <w:szCs w:val="21"/>
              </w:rPr>
              <w:t>26.49%</w:t>
            </w:r>
          </w:p>
        </w:tc>
      </w:tr>
      <w:tr w:rsidR="00FF011B" w:rsidRPr="0088218E" w:rsidTr="00E336E6">
        <w:tc>
          <w:tcPr>
            <w:tcW w:w="1000"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2009</w:t>
            </w:r>
          </w:p>
        </w:tc>
        <w:tc>
          <w:tcPr>
            <w:tcW w:w="1143"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31090.32</w:t>
            </w:r>
          </w:p>
        </w:tc>
        <w:tc>
          <w:tcPr>
            <w:tcW w:w="857"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32660.12</w:t>
            </w:r>
          </w:p>
        </w:tc>
        <w:tc>
          <w:tcPr>
            <w:tcW w:w="1000"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1569.80</w:t>
            </w:r>
          </w:p>
        </w:tc>
        <w:tc>
          <w:tcPr>
            <w:tcW w:w="1000"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5.05%</w:t>
            </w:r>
          </w:p>
        </w:tc>
      </w:tr>
      <w:tr w:rsidR="00FF011B" w:rsidRPr="0088218E" w:rsidTr="00E336E6">
        <w:tc>
          <w:tcPr>
            <w:tcW w:w="1000"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2010</w:t>
            </w:r>
          </w:p>
        </w:tc>
        <w:tc>
          <w:tcPr>
            <w:tcW w:w="1143"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32660.12</w:t>
            </w:r>
          </w:p>
        </w:tc>
        <w:tc>
          <w:tcPr>
            <w:tcW w:w="857"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42346.08</w:t>
            </w:r>
          </w:p>
        </w:tc>
        <w:tc>
          <w:tcPr>
            <w:tcW w:w="1000"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9685.96</w:t>
            </w:r>
          </w:p>
        </w:tc>
        <w:tc>
          <w:tcPr>
            <w:tcW w:w="1000"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29.66%</w:t>
            </w:r>
          </w:p>
        </w:tc>
      </w:tr>
      <w:tr w:rsidR="00FF011B" w:rsidRPr="0088218E" w:rsidTr="00E336E6">
        <w:tc>
          <w:tcPr>
            <w:tcW w:w="1000"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2011</w:t>
            </w:r>
          </w:p>
        </w:tc>
        <w:tc>
          <w:tcPr>
            <w:tcW w:w="1143"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42346.08</w:t>
            </w:r>
          </w:p>
        </w:tc>
        <w:tc>
          <w:tcPr>
            <w:tcW w:w="857"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61163.55</w:t>
            </w:r>
          </w:p>
        </w:tc>
        <w:tc>
          <w:tcPr>
            <w:tcW w:w="1000"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18817.47</w:t>
            </w:r>
          </w:p>
        </w:tc>
        <w:tc>
          <w:tcPr>
            <w:tcW w:w="1000" w:type="pct"/>
            <w:tcBorders>
              <w:top w:val="nil"/>
              <w:left w:val="nil"/>
              <w:bottom w:val="nil"/>
              <w:right w:val="nil"/>
            </w:tcBorders>
          </w:tcPr>
          <w:p w:rsidR="00FF011B" w:rsidRPr="0084329F" w:rsidRDefault="00FF011B" w:rsidP="00E336E6">
            <w:pPr>
              <w:jc w:val="center"/>
              <w:rPr>
                <w:rFonts w:eastAsia="黑体"/>
                <w:szCs w:val="21"/>
              </w:rPr>
            </w:pPr>
            <w:r w:rsidRPr="0084329F">
              <w:rPr>
                <w:rFonts w:eastAsia="黑体"/>
                <w:szCs w:val="21"/>
              </w:rPr>
              <w:t>44.44%</w:t>
            </w:r>
          </w:p>
        </w:tc>
      </w:tr>
      <w:tr w:rsidR="00FF011B" w:rsidRPr="0088218E" w:rsidTr="00E336E6">
        <w:tc>
          <w:tcPr>
            <w:tcW w:w="1000" w:type="pct"/>
            <w:tcBorders>
              <w:top w:val="nil"/>
              <w:left w:val="nil"/>
              <w:bottom w:val="single" w:sz="12" w:space="0" w:color="000000"/>
              <w:right w:val="nil"/>
            </w:tcBorders>
          </w:tcPr>
          <w:p w:rsidR="00FF011B" w:rsidRPr="0084329F" w:rsidRDefault="00FF011B" w:rsidP="00E336E6">
            <w:pPr>
              <w:jc w:val="center"/>
              <w:rPr>
                <w:rFonts w:eastAsia="黑体"/>
                <w:szCs w:val="21"/>
              </w:rPr>
            </w:pPr>
            <w:r w:rsidRPr="0084329F">
              <w:rPr>
                <w:rFonts w:eastAsia="黑体"/>
                <w:szCs w:val="21"/>
              </w:rPr>
              <w:t>2012</w:t>
            </w:r>
          </w:p>
        </w:tc>
        <w:tc>
          <w:tcPr>
            <w:tcW w:w="1143" w:type="pct"/>
            <w:tcBorders>
              <w:top w:val="nil"/>
              <w:left w:val="nil"/>
              <w:bottom w:val="single" w:sz="12" w:space="0" w:color="000000"/>
              <w:right w:val="nil"/>
            </w:tcBorders>
          </w:tcPr>
          <w:p w:rsidR="00FF011B" w:rsidRPr="0084329F" w:rsidRDefault="00FF011B" w:rsidP="00E336E6">
            <w:pPr>
              <w:jc w:val="center"/>
              <w:rPr>
                <w:rFonts w:eastAsia="黑体"/>
                <w:szCs w:val="21"/>
              </w:rPr>
            </w:pPr>
            <w:r w:rsidRPr="0084329F">
              <w:rPr>
                <w:rFonts w:eastAsia="黑体"/>
                <w:szCs w:val="21"/>
              </w:rPr>
              <w:t>61163.55</w:t>
            </w:r>
          </w:p>
        </w:tc>
        <w:tc>
          <w:tcPr>
            <w:tcW w:w="857" w:type="pct"/>
            <w:tcBorders>
              <w:top w:val="nil"/>
              <w:left w:val="nil"/>
              <w:bottom w:val="single" w:sz="12" w:space="0" w:color="000000"/>
              <w:right w:val="nil"/>
            </w:tcBorders>
          </w:tcPr>
          <w:p w:rsidR="00FF011B" w:rsidRPr="0084329F" w:rsidRDefault="00FF011B" w:rsidP="00E336E6">
            <w:pPr>
              <w:jc w:val="center"/>
              <w:rPr>
                <w:rFonts w:eastAsia="黑体"/>
                <w:szCs w:val="21"/>
              </w:rPr>
            </w:pPr>
            <w:r w:rsidRPr="0084329F">
              <w:rPr>
                <w:rFonts w:eastAsia="黑体"/>
                <w:szCs w:val="21"/>
              </w:rPr>
              <w:t>75028.09</w:t>
            </w:r>
          </w:p>
        </w:tc>
        <w:tc>
          <w:tcPr>
            <w:tcW w:w="1000" w:type="pct"/>
            <w:tcBorders>
              <w:top w:val="nil"/>
              <w:left w:val="nil"/>
              <w:bottom w:val="single" w:sz="12" w:space="0" w:color="000000"/>
              <w:right w:val="nil"/>
            </w:tcBorders>
          </w:tcPr>
          <w:p w:rsidR="00FF011B" w:rsidRPr="0084329F" w:rsidRDefault="00FF011B" w:rsidP="00E336E6">
            <w:pPr>
              <w:jc w:val="center"/>
              <w:rPr>
                <w:rFonts w:eastAsia="黑体"/>
                <w:szCs w:val="21"/>
              </w:rPr>
            </w:pPr>
            <w:r w:rsidRPr="0084329F">
              <w:rPr>
                <w:rFonts w:eastAsia="黑体"/>
                <w:szCs w:val="21"/>
              </w:rPr>
              <w:t>13864.54</w:t>
            </w:r>
          </w:p>
        </w:tc>
        <w:tc>
          <w:tcPr>
            <w:tcW w:w="1000" w:type="pct"/>
            <w:tcBorders>
              <w:top w:val="nil"/>
              <w:left w:val="nil"/>
              <w:bottom w:val="single" w:sz="12" w:space="0" w:color="000000"/>
              <w:right w:val="nil"/>
            </w:tcBorders>
          </w:tcPr>
          <w:p w:rsidR="00FF011B" w:rsidRPr="0084329F" w:rsidRDefault="00FF011B" w:rsidP="00E336E6">
            <w:pPr>
              <w:jc w:val="center"/>
              <w:rPr>
                <w:rFonts w:eastAsia="黑体"/>
                <w:szCs w:val="21"/>
              </w:rPr>
            </w:pPr>
            <w:r w:rsidRPr="0084329F">
              <w:rPr>
                <w:rFonts w:eastAsia="黑体"/>
                <w:szCs w:val="21"/>
              </w:rPr>
              <w:t>22.67%</w:t>
            </w:r>
          </w:p>
        </w:tc>
      </w:tr>
    </w:tbl>
    <w:p w:rsidR="00FF011B" w:rsidRDefault="00FF011B" w:rsidP="00FF011B">
      <w:pPr>
        <w:pStyle w:val="reader-word-layer"/>
        <w:shd w:val="clear" w:color="auto" w:fill="FFFFFF"/>
        <w:spacing w:before="0" w:beforeAutospacing="0" w:after="0" w:afterAutospacing="0" w:line="288" w:lineRule="auto"/>
        <w:ind w:firstLineChars="200" w:firstLine="480"/>
      </w:pPr>
      <w:r w:rsidRPr="00B272C0">
        <w:rPr>
          <w:rFonts w:hint="eastAsia"/>
        </w:rPr>
        <w:t>泰兴农村商业银行的每年的营业收入不断增加</w:t>
      </w:r>
      <w:r>
        <w:rPr>
          <w:rFonts w:hint="eastAsia"/>
        </w:rPr>
        <w:t>，</w:t>
      </w:r>
      <w:r w:rsidRPr="0088218E">
        <w:rPr>
          <w:rFonts w:hint="eastAsia"/>
        </w:rPr>
        <w:t>利息收入占比最大</w:t>
      </w:r>
      <w:r w:rsidR="00674B79">
        <w:rPr>
          <w:rFonts w:hint="eastAsia"/>
        </w:rPr>
        <w:t>。</w:t>
      </w:r>
    </w:p>
    <w:p w:rsidR="00674B79" w:rsidRPr="00674B79" w:rsidRDefault="00674B79" w:rsidP="00FF011B">
      <w:pPr>
        <w:pStyle w:val="reader-word-layer"/>
        <w:shd w:val="clear" w:color="auto" w:fill="FFFFFF"/>
        <w:spacing w:before="0" w:beforeAutospacing="0" w:after="0" w:afterAutospacing="0" w:line="288" w:lineRule="auto"/>
        <w:ind w:firstLineChars="200" w:firstLine="480"/>
      </w:pPr>
      <w:r>
        <w:rPr>
          <w:rFonts w:hint="eastAsia"/>
        </w:rPr>
        <w:t>（2</w:t>
      </w:r>
      <w:r>
        <w:t>）</w:t>
      </w:r>
      <w:r w:rsidRPr="00D97F0A">
        <w:rPr>
          <w:rFonts w:hint="eastAsia"/>
        </w:rPr>
        <w:t>营业支出情况</w:t>
      </w:r>
    </w:p>
    <w:p w:rsidR="00674B79" w:rsidRPr="0084329F" w:rsidRDefault="00674B79" w:rsidP="00674B79">
      <w:pPr>
        <w:wordWrap w:val="0"/>
        <w:jc w:val="right"/>
        <w:rPr>
          <w:rFonts w:ascii="黑体" w:eastAsia="黑体" w:hAnsi="黑体"/>
          <w:szCs w:val="21"/>
        </w:rPr>
      </w:pPr>
      <w:r w:rsidRPr="0084329F">
        <w:rPr>
          <w:rFonts w:ascii="黑体" w:eastAsia="黑体" w:hAnsi="黑体" w:hint="eastAsia"/>
          <w:szCs w:val="21"/>
        </w:rPr>
        <w:t>表</w:t>
      </w:r>
      <w:r>
        <w:rPr>
          <w:rFonts w:ascii="黑体" w:eastAsia="黑体" w:hAnsi="黑体"/>
          <w:szCs w:val="21"/>
        </w:rPr>
        <w:t>4</w:t>
      </w:r>
      <w:r w:rsidRPr="0084329F">
        <w:rPr>
          <w:rFonts w:ascii="黑体" w:eastAsia="黑体" w:hAnsi="黑体"/>
          <w:szCs w:val="21"/>
        </w:rPr>
        <w:t>2008——2012</w:t>
      </w:r>
      <w:r w:rsidRPr="0084329F">
        <w:rPr>
          <w:rFonts w:ascii="黑体" w:eastAsia="黑体" w:hAnsi="黑体" w:hint="eastAsia"/>
          <w:szCs w:val="21"/>
        </w:rPr>
        <w:t>年的营业支出情况单位：万元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77"/>
        <w:gridCol w:w="1996"/>
        <w:gridCol w:w="1427"/>
        <w:gridCol w:w="1711"/>
        <w:gridCol w:w="1711"/>
      </w:tblGrid>
      <w:tr w:rsidR="00674B79" w:rsidRPr="0088218E" w:rsidTr="00E336E6">
        <w:tc>
          <w:tcPr>
            <w:tcW w:w="984" w:type="pct"/>
            <w:tcBorders>
              <w:top w:val="single" w:sz="12" w:space="0" w:color="000000"/>
              <w:left w:val="nil"/>
              <w:bottom w:val="single" w:sz="12" w:space="0" w:color="000000"/>
              <w:right w:val="nil"/>
            </w:tcBorders>
          </w:tcPr>
          <w:p w:rsidR="00674B79" w:rsidRPr="0088218E" w:rsidRDefault="00674B79" w:rsidP="00E336E6">
            <w:pPr>
              <w:jc w:val="center"/>
              <w:rPr>
                <w:rFonts w:ascii="黑体" w:eastAsia="黑体" w:hAnsi="黑体"/>
                <w:szCs w:val="21"/>
              </w:rPr>
            </w:pPr>
          </w:p>
        </w:tc>
        <w:tc>
          <w:tcPr>
            <w:tcW w:w="1171" w:type="pct"/>
            <w:tcBorders>
              <w:top w:val="single" w:sz="12" w:space="0" w:color="000000"/>
              <w:left w:val="nil"/>
              <w:bottom w:val="single" w:sz="12" w:space="0" w:color="000000"/>
              <w:right w:val="nil"/>
            </w:tcBorders>
          </w:tcPr>
          <w:p w:rsidR="00674B79" w:rsidRPr="0084329F" w:rsidRDefault="00674B79" w:rsidP="00E336E6">
            <w:pPr>
              <w:jc w:val="center"/>
              <w:rPr>
                <w:rFonts w:ascii="宋体" w:hAnsi="宋体"/>
                <w:szCs w:val="21"/>
              </w:rPr>
            </w:pPr>
            <w:r w:rsidRPr="0084329F">
              <w:rPr>
                <w:rFonts w:ascii="宋体" w:hAnsi="宋体" w:hint="eastAsia"/>
                <w:szCs w:val="21"/>
              </w:rPr>
              <w:t>营业支出上年数</w:t>
            </w:r>
          </w:p>
        </w:tc>
        <w:tc>
          <w:tcPr>
            <w:tcW w:w="837" w:type="pct"/>
            <w:tcBorders>
              <w:top w:val="single" w:sz="12" w:space="0" w:color="000000"/>
              <w:left w:val="nil"/>
              <w:bottom w:val="single" w:sz="12" w:space="0" w:color="000000"/>
              <w:right w:val="nil"/>
            </w:tcBorders>
          </w:tcPr>
          <w:p w:rsidR="00674B79" w:rsidRPr="0084329F" w:rsidRDefault="00674B79" w:rsidP="00E336E6">
            <w:pPr>
              <w:jc w:val="center"/>
              <w:rPr>
                <w:rFonts w:ascii="宋体" w:hAnsi="宋体"/>
                <w:szCs w:val="21"/>
              </w:rPr>
            </w:pPr>
            <w:r w:rsidRPr="0084329F">
              <w:rPr>
                <w:rFonts w:ascii="宋体" w:hAnsi="宋体" w:hint="eastAsia"/>
                <w:szCs w:val="21"/>
              </w:rPr>
              <w:t>营业支出本年累计数</w:t>
            </w:r>
          </w:p>
        </w:tc>
        <w:tc>
          <w:tcPr>
            <w:tcW w:w="1004" w:type="pct"/>
            <w:tcBorders>
              <w:top w:val="single" w:sz="12" w:space="0" w:color="000000"/>
              <w:left w:val="nil"/>
              <w:bottom w:val="single" w:sz="12" w:space="0" w:color="000000"/>
              <w:right w:val="nil"/>
            </w:tcBorders>
          </w:tcPr>
          <w:p w:rsidR="00674B79" w:rsidRPr="0084329F" w:rsidRDefault="00674B79" w:rsidP="00E336E6">
            <w:pPr>
              <w:jc w:val="center"/>
              <w:rPr>
                <w:rFonts w:ascii="宋体" w:hAnsi="宋体"/>
                <w:szCs w:val="21"/>
              </w:rPr>
            </w:pPr>
            <w:r w:rsidRPr="0084329F">
              <w:rPr>
                <w:rFonts w:ascii="宋体" w:hAnsi="宋体" w:hint="eastAsia"/>
                <w:szCs w:val="21"/>
              </w:rPr>
              <w:t>增长数额</w:t>
            </w:r>
          </w:p>
        </w:tc>
        <w:tc>
          <w:tcPr>
            <w:tcW w:w="1004" w:type="pct"/>
            <w:tcBorders>
              <w:top w:val="single" w:sz="12" w:space="0" w:color="000000"/>
              <w:left w:val="nil"/>
              <w:bottom w:val="single" w:sz="12" w:space="0" w:color="000000"/>
              <w:right w:val="nil"/>
            </w:tcBorders>
          </w:tcPr>
          <w:p w:rsidR="00674B79" w:rsidRPr="0084329F" w:rsidRDefault="00674B79" w:rsidP="00E336E6">
            <w:pPr>
              <w:jc w:val="center"/>
              <w:rPr>
                <w:rFonts w:ascii="宋体" w:hAnsi="宋体"/>
                <w:szCs w:val="21"/>
              </w:rPr>
            </w:pPr>
            <w:r w:rsidRPr="0084329F">
              <w:rPr>
                <w:rFonts w:ascii="宋体" w:hAnsi="宋体" w:hint="eastAsia"/>
                <w:szCs w:val="21"/>
              </w:rPr>
              <w:t>增长率</w:t>
            </w:r>
          </w:p>
        </w:tc>
      </w:tr>
      <w:tr w:rsidR="00674B79" w:rsidRPr="0088218E" w:rsidTr="00E336E6">
        <w:tc>
          <w:tcPr>
            <w:tcW w:w="984" w:type="pct"/>
            <w:tcBorders>
              <w:top w:val="single" w:sz="12" w:space="0" w:color="000000"/>
              <w:left w:val="nil"/>
              <w:bottom w:val="nil"/>
              <w:right w:val="nil"/>
            </w:tcBorders>
          </w:tcPr>
          <w:p w:rsidR="00674B79" w:rsidRPr="0084329F" w:rsidRDefault="00674B79" w:rsidP="00E336E6">
            <w:pPr>
              <w:jc w:val="center"/>
              <w:rPr>
                <w:szCs w:val="21"/>
              </w:rPr>
            </w:pPr>
            <w:r w:rsidRPr="0084329F">
              <w:rPr>
                <w:szCs w:val="21"/>
              </w:rPr>
              <w:t>2008</w:t>
            </w:r>
          </w:p>
        </w:tc>
        <w:tc>
          <w:tcPr>
            <w:tcW w:w="1171" w:type="pct"/>
            <w:tcBorders>
              <w:top w:val="single" w:sz="12" w:space="0" w:color="000000"/>
              <w:left w:val="nil"/>
              <w:bottom w:val="nil"/>
              <w:right w:val="nil"/>
            </w:tcBorders>
          </w:tcPr>
          <w:p w:rsidR="00674B79" w:rsidRPr="0084329F" w:rsidRDefault="00674B79" w:rsidP="00E336E6">
            <w:pPr>
              <w:jc w:val="center"/>
              <w:rPr>
                <w:szCs w:val="21"/>
              </w:rPr>
            </w:pPr>
            <w:r w:rsidRPr="0084329F">
              <w:rPr>
                <w:szCs w:val="21"/>
              </w:rPr>
              <w:t>21152.41</w:t>
            </w:r>
          </w:p>
        </w:tc>
        <w:tc>
          <w:tcPr>
            <w:tcW w:w="837" w:type="pct"/>
            <w:tcBorders>
              <w:top w:val="single" w:sz="12" w:space="0" w:color="000000"/>
              <w:left w:val="nil"/>
              <w:bottom w:val="nil"/>
              <w:right w:val="nil"/>
            </w:tcBorders>
          </w:tcPr>
          <w:p w:rsidR="00674B79" w:rsidRPr="0084329F" w:rsidRDefault="00674B79" w:rsidP="00E336E6">
            <w:pPr>
              <w:jc w:val="center"/>
              <w:rPr>
                <w:szCs w:val="21"/>
              </w:rPr>
            </w:pPr>
            <w:r w:rsidRPr="0084329F">
              <w:rPr>
                <w:szCs w:val="21"/>
              </w:rPr>
              <w:t>28747.14</w:t>
            </w:r>
          </w:p>
        </w:tc>
        <w:tc>
          <w:tcPr>
            <w:tcW w:w="1004" w:type="pct"/>
            <w:tcBorders>
              <w:top w:val="single" w:sz="12" w:space="0" w:color="000000"/>
              <w:left w:val="nil"/>
              <w:bottom w:val="nil"/>
              <w:right w:val="nil"/>
            </w:tcBorders>
          </w:tcPr>
          <w:p w:rsidR="00674B79" w:rsidRPr="0084329F" w:rsidRDefault="00674B79" w:rsidP="00E336E6">
            <w:pPr>
              <w:jc w:val="center"/>
              <w:rPr>
                <w:szCs w:val="21"/>
              </w:rPr>
            </w:pPr>
            <w:r w:rsidRPr="0084329F">
              <w:rPr>
                <w:szCs w:val="21"/>
              </w:rPr>
              <w:t>7594.13</w:t>
            </w:r>
          </w:p>
        </w:tc>
        <w:tc>
          <w:tcPr>
            <w:tcW w:w="1004" w:type="pct"/>
            <w:tcBorders>
              <w:top w:val="single" w:sz="12" w:space="0" w:color="000000"/>
              <w:left w:val="nil"/>
              <w:bottom w:val="nil"/>
              <w:right w:val="nil"/>
            </w:tcBorders>
          </w:tcPr>
          <w:p w:rsidR="00674B79" w:rsidRPr="0084329F" w:rsidRDefault="00674B79" w:rsidP="00E336E6">
            <w:pPr>
              <w:jc w:val="center"/>
              <w:rPr>
                <w:szCs w:val="21"/>
              </w:rPr>
            </w:pPr>
            <w:r w:rsidRPr="0084329F">
              <w:rPr>
                <w:szCs w:val="21"/>
              </w:rPr>
              <w:t>35.90%</w:t>
            </w:r>
          </w:p>
        </w:tc>
      </w:tr>
      <w:tr w:rsidR="00674B79" w:rsidRPr="0088218E" w:rsidTr="00E336E6">
        <w:tc>
          <w:tcPr>
            <w:tcW w:w="984" w:type="pct"/>
            <w:tcBorders>
              <w:top w:val="nil"/>
              <w:left w:val="nil"/>
              <w:bottom w:val="nil"/>
              <w:right w:val="nil"/>
            </w:tcBorders>
          </w:tcPr>
          <w:p w:rsidR="00674B79" w:rsidRPr="0084329F" w:rsidRDefault="00674B79" w:rsidP="00E336E6">
            <w:pPr>
              <w:jc w:val="center"/>
              <w:rPr>
                <w:szCs w:val="21"/>
              </w:rPr>
            </w:pPr>
            <w:r w:rsidRPr="0084329F">
              <w:rPr>
                <w:szCs w:val="21"/>
              </w:rPr>
              <w:t>2009</w:t>
            </w:r>
          </w:p>
        </w:tc>
        <w:tc>
          <w:tcPr>
            <w:tcW w:w="1171" w:type="pct"/>
            <w:tcBorders>
              <w:top w:val="nil"/>
              <w:left w:val="nil"/>
              <w:bottom w:val="nil"/>
              <w:right w:val="nil"/>
            </w:tcBorders>
          </w:tcPr>
          <w:p w:rsidR="00674B79" w:rsidRPr="0084329F" w:rsidRDefault="00674B79" w:rsidP="00E336E6">
            <w:pPr>
              <w:jc w:val="center"/>
              <w:rPr>
                <w:szCs w:val="21"/>
              </w:rPr>
            </w:pPr>
            <w:r w:rsidRPr="0084329F">
              <w:rPr>
                <w:szCs w:val="21"/>
              </w:rPr>
              <w:t>28747.14</w:t>
            </w:r>
          </w:p>
        </w:tc>
        <w:tc>
          <w:tcPr>
            <w:tcW w:w="837" w:type="pct"/>
            <w:tcBorders>
              <w:top w:val="nil"/>
              <w:left w:val="nil"/>
              <w:bottom w:val="nil"/>
              <w:right w:val="nil"/>
            </w:tcBorders>
          </w:tcPr>
          <w:p w:rsidR="00674B79" w:rsidRPr="0084329F" w:rsidRDefault="00674B79" w:rsidP="00E336E6">
            <w:pPr>
              <w:jc w:val="center"/>
              <w:rPr>
                <w:szCs w:val="21"/>
              </w:rPr>
            </w:pPr>
            <w:r w:rsidRPr="0084329F">
              <w:rPr>
                <w:szCs w:val="21"/>
              </w:rPr>
              <w:t>29177.70</w:t>
            </w:r>
          </w:p>
        </w:tc>
        <w:tc>
          <w:tcPr>
            <w:tcW w:w="1004" w:type="pct"/>
            <w:tcBorders>
              <w:top w:val="nil"/>
              <w:left w:val="nil"/>
              <w:bottom w:val="nil"/>
              <w:right w:val="nil"/>
            </w:tcBorders>
          </w:tcPr>
          <w:p w:rsidR="00674B79" w:rsidRPr="0084329F" w:rsidRDefault="00674B79" w:rsidP="00E336E6">
            <w:pPr>
              <w:jc w:val="center"/>
              <w:rPr>
                <w:szCs w:val="21"/>
              </w:rPr>
            </w:pPr>
            <w:r w:rsidRPr="0084329F">
              <w:rPr>
                <w:szCs w:val="21"/>
              </w:rPr>
              <w:t>430.56</w:t>
            </w:r>
          </w:p>
        </w:tc>
        <w:tc>
          <w:tcPr>
            <w:tcW w:w="1004" w:type="pct"/>
            <w:tcBorders>
              <w:top w:val="nil"/>
              <w:left w:val="nil"/>
              <w:bottom w:val="nil"/>
              <w:right w:val="nil"/>
            </w:tcBorders>
          </w:tcPr>
          <w:p w:rsidR="00674B79" w:rsidRPr="0084329F" w:rsidRDefault="00674B79" w:rsidP="00E336E6">
            <w:pPr>
              <w:jc w:val="center"/>
              <w:rPr>
                <w:szCs w:val="21"/>
              </w:rPr>
            </w:pPr>
            <w:r w:rsidRPr="0084329F">
              <w:rPr>
                <w:szCs w:val="21"/>
              </w:rPr>
              <w:t>1.50%</w:t>
            </w:r>
          </w:p>
        </w:tc>
      </w:tr>
      <w:tr w:rsidR="00674B79" w:rsidRPr="0088218E" w:rsidTr="00E336E6">
        <w:tc>
          <w:tcPr>
            <w:tcW w:w="984" w:type="pct"/>
            <w:tcBorders>
              <w:top w:val="nil"/>
              <w:left w:val="nil"/>
              <w:bottom w:val="nil"/>
              <w:right w:val="nil"/>
            </w:tcBorders>
          </w:tcPr>
          <w:p w:rsidR="00674B79" w:rsidRPr="0084329F" w:rsidRDefault="00674B79" w:rsidP="00E336E6">
            <w:pPr>
              <w:jc w:val="center"/>
              <w:rPr>
                <w:szCs w:val="21"/>
              </w:rPr>
            </w:pPr>
            <w:r w:rsidRPr="0084329F">
              <w:rPr>
                <w:szCs w:val="21"/>
              </w:rPr>
              <w:lastRenderedPageBreak/>
              <w:t>2010</w:t>
            </w:r>
          </w:p>
        </w:tc>
        <w:tc>
          <w:tcPr>
            <w:tcW w:w="1171" w:type="pct"/>
            <w:tcBorders>
              <w:top w:val="nil"/>
              <w:left w:val="nil"/>
              <w:bottom w:val="nil"/>
              <w:right w:val="nil"/>
            </w:tcBorders>
          </w:tcPr>
          <w:p w:rsidR="00674B79" w:rsidRPr="0084329F" w:rsidRDefault="00674B79" w:rsidP="00E336E6">
            <w:pPr>
              <w:jc w:val="center"/>
              <w:rPr>
                <w:szCs w:val="21"/>
              </w:rPr>
            </w:pPr>
            <w:r w:rsidRPr="0084329F">
              <w:rPr>
                <w:szCs w:val="21"/>
              </w:rPr>
              <w:t>29177.70</w:t>
            </w:r>
          </w:p>
        </w:tc>
        <w:tc>
          <w:tcPr>
            <w:tcW w:w="837" w:type="pct"/>
            <w:tcBorders>
              <w:top w:val="nil"/>
              <w:left w:val="nil"/>
              <w:bottom w:val="nil"/>
              <w:right w:val="nil"/>
            </w:tcBorders>
          </w:tcPr>
          <w:p w:rsidR="00674B79" w:rsidRPr="0084329F" w:rsidRDefault="00674B79" w:rsidP="00E336E6">
            <w:pPr>
              <w:jc w:val="center"/>
              <w:rPr>
                <w:szCs w:val="21"/>
              </w:rPr>
            </w:pPr>
            <w:r w:rsidRPr="0084329F">
              <w:rPr>
                <w:szCs w:val="21"/>
              </w:rPr>
              <w:t>40038.24</w:t>
            </w:r>
          </w:p>
        </w:tc>
        <w:tc>
          <w:tcPr>
            <w:tcW w:w="1004" w:type="pct"/>
            <w:tcBorders>
              <w:top w:val="nil"/>
              <w:left w:val="nil"/>
              <w:bottom w:val="nil"/>
              <w:right w:val="nil"/>
            </w:tcBorders>
          </w:tcPr>
          <w:p w:rsidR="00674B79" w:rsidRPr="0084329F" w:rsidRDefault="00674B79" w:rsidP="00E336E6">
            <w:pPr>
              <w:jc w:val="center"/>
              <w:rPr>
                <w:szCs w:val="21"/>
              </w:rPr>
            </w:pPr>
            <w:r w:rsidRPr="0084329F">
              <w:rPr>
                <w:szCs w:val="21"/>
              </w:rPr>
              <w:t>10860.54</w:t>
            </w:r>
          </w:p>
        </w:tc>
        <w:tc>
          <w:tcPr>
            <w:tcW w:w="1004" w:type="pct"/>
            <w:tcBorders>
              <w:top w:val="nil"/>
              <w:left w:val="nil"/>
              <w:bottom w:val="nil"/>
              <w:right w:val="nil"/>
            </w:tcBorders>
          </w:tcPr>
          <w:p w:rsidR="00674B79" w:rsidRPr="0084329F" w:rsidRDefault="00674B79" w:rsidP="00E336E6">
            <w:pPr>
              <w:jc w:val="center"/>
              <w:rPr>
                <w:szCs w:val="21"/>
              </w:rPr>
            </w:pPr>
            <w:r w:rsidRPr="0084329F">
              <w:rPr>
                <w:szCs w:val="21"/>
              </w:rPr>
              <w:t>37.22%</w:t>
            </w:r>
          </w:p>
        </w:tc>
      </w:tr>
      <w:tr w:rsidR="00674B79" w:rsidRPr="0088218E" w:rsidTr="00E336E6">
        <w:tc>
          <w:tcPr>
            <w:tcW w:w="984" w:type="pct"/>
            <w:tcBorders>
              <w:top w:val="nil"/>
              <w:left w:val="nil"/>
              <w:bottom w:val="nil"/>
              <w:right w:val="nil"/>
            </w:tcBorders>
          </w:tcPr>
          <w:p w:rsidR="00674B79" w:rsidRPr="0084329F" w:rsidRDefault="00674B79" w:rsidP="00E336E6">
            <w:pPr>
              <w:jc w:val="center"/>
              <w:rPr>
                <w:szCs w:val="21"/>
              </w:rPr>
            </w:pPr>
            <w:r w:rsidRPr="0084329F">
              <w:rPr>
                <w:szCs w:val="21"/>
              </w:rPr>
              <w:t>2011</w:t>
            </w:r>
          </w:p>
        </w:tc>
        <w:tc>
          <w:tcPr>
            <w:tcW w:w="1171" w:type="pct"/>
            <w:tcBorders>
              <w:top w:val="nil"/>
              <w:left w:val="nil"/>
              <w:bottom w:val="nil"/>
              <w:right w:val="nil"/>
            </w:tcBorders>
          </w:tcPr>
          <w:p w:rsidR="00674B79" w:rsidRPr="0084329F" w:rsidRDefault="00674B79" w:rsidP="00E336E6">
            <w:pPr>
              <w:jc w:val="center"/>
              <w:rPr>
                <w:szCs w:val="21"/>
              </w:rPr>
            </w:pPr>
            <w:r w:rsidRPr="0084329F">
              <w:rPr>
                <w:szCs w:val="21"/>
              </w:rPr>
              <w:t>40038.24</w:t>
            </w:r>
          </w:p>
        </w:tc>
        <w:tc>
          <w:tcPr>
            <w:tcW w:w="837" w:type="pct"/>
            <w:tcBorders>
              <w:top w:val="nil"/>
              <w:left w:val="nil"/>
              <w:bottom w:val="nil"/>
              <w:right w:val="nil"/>
            </w:tcBorders>
          </w:tcPr>
          <w:p w:rsidR="00674B79" w:rsidRPr="0084329F" w:rsidRDefault="00674B79" w:rsidP="00E336E6">
            <w:pPr>
              <w:jc w:val="center"/>
              <w:rPr>
                <w:szCs w:val="21"/>
              </w:rPr>
            </w:pPr>
            <w:r w:rsidRPr="0084329F">
              <w:rPr>
                <w:szCs w:val="21"/>
              </w:rPr>
              <w:t>51636.04</w:t>
            </w:r>
          </w:p>
        </w:tc>
        <w:tc>
          <w:tcPr>
            <w:tcW w:w="1004" w:type="pct"/>
            <w:tcBorders>
              <w:top w:val="nil"/>
              <w:left w:val="nil"/>
              <w:bottom w:val="nil"/>
              <w:right w:val="nil"/>
            </w:tcBorders>
          </w:tcPr>
          <w:p w:rsidR="00674B79" w:rsidRPr="0084329F" w:rsidRDefault="00674B79" w:rsidP="00E336E6">
            <w:pPr>
              <w:jc w:val="center"/>
              <w:rPr>
                <w:szCs w:val="21"/>
              </w:rPr>
            </w:pPr>
            <w:r w:rsidRPr="0084329F">
              <w:rPr>
                <w:szCs w:val="21"/>
              </w:rPr>
              <w:t>11597.80</w:t>
            </w:r>
          </w:p>
        </w:tc>
        <w:tc>
          <w:tcPr>
            <w:tcW w:w="1004" w:type="pct"/>
            <w:tcBorders>
              <w:top w:val="nil"/>
              <w:left w:val="nil"/>
              <w:bottom w:val="nil"/>
              <w:right w:val="nil"/>
            </w:tcBorders>
          </w:tcPr>
          <w:p w:rsidR="00674B79" w:rsidRPr="0084329F" w:rsidRDefault="00674B79" w:rsidP="00E336E6">
            <w:pPr>
              <w:jc w:val="center"/>
              <w:rPr>
                <w:szCs w:val="21"/>
              </w:rPr>
            </w:pPr>
            <w:r w:rsidRPr="0084329F">
              <w:rPr>
                <w:szCs w:val="21"/>
              </w:rPr>
              <w:t>28.97%</w:t>
            </w:r>
          </w:p>
        </w:tc>
      </w:tr>
      <w:tr w:rsidR="00674B79" w:rsidRPr="0088218E" w:rsidTr="00E336E6">
        <w:tc>
          <w:tcPr>
            <w:tcW w:w="984" w:type="pct"/>
            <w:tcBorders>
              <w:top w:val="nil"/>
              <w:left w:val="nil"/>
              <w:bottom w:val="single" w:sz="12" w:space="0" w:color="000000"/>
              <w:right w:val="nil"/>
            </w:tcBorders>
          </w:tcPr>
          <w:p w:rsidR="00674B79" w:rsidRPr="0084329F" w:rsidRDefault="00674B79" w:rsidP="00E336E6">
            <w:pPr>
              <w:jc w:val="center"/>
              <w:rPr>
                <w:szCs w:val="21"/>
              </w:rPr>
            </w:pPr>
            <w:r w:rsidRPr="0084329F">
              <w:rPr>
                <w:szCs w:val="21"/>
              </w:rPr>
              <w:t>2012</w:t>
            </w:r>
          </w:p>
        </w:tc>
        <w:tc>
          <w:tcPr>
            <w:tcW w:w="1171" w:type="pct"/>
            <w:tcBorders>
              <w:top w:val="nil"/>
              <w:left w:val="nil"/>
              <w:bottom w:val="single" w:sz="12" w:space="0" w:color="000000"/>
              <w:right w:val="nil"/>
            </w:tcBorders>
          </w:tcPr>
          <w:p w:rsidR="00674B79" w:rsidRPr="0084329F" w:rsidRDefault="00674B79" w:rsidP="00E336E6">
            <w:pPr>
              <w:jc w:val="center"/>
              <w:rPr>
                <w:szCs w:val="21"/>
              </w:rPr>
            </w:pPr>
            <w:r w:rsidRPr="0084329F">
              <w:rPr>
                <w:szCs w:val="21"/>
              </w:rPr>
              <w:t>51636.04</w:t>
            </w:r>
          </w:p>
        </w:tc>
        <w:tc>
          <w:tcPr>
            <w:tcW w:w="837" w:type="pct"/>
            <w:tcBorders>
              <w:top w:val="nil"/>
              <w:left w:val="nil"/>
              <w:bottom w:val="single" w:sz="12" w:space="0" w:color="000000"/>
              <w:right w:val="nil"/>
            </w:tcBorders>
          </w:tcPr>
          <w:p w:rsidR="00674B79" w:rsidRPr="0084329F" w:rsidRDefault="00674B79" w:rsidP="00E336E6">
            <w:pPr>
              <w:jc w:val="center"/>
              <w:rPr>
                <w:szCs w:val="21"/>
              </w:rPr>
            </w:pPr>
            <w:r w:rsidRPr="0084329F">
              <w:rPr>
                <w:szCs w:val="21"/>
              </w:rPr>
              <w:t>60208.06</w:t>
            </w:r>
          </w:p>
        </w:tc>
        <w:tc>
          <w:tcPr>
            <w:tcW w:w="1004" w:type="pct"/>
            <w:tcBorders>
              <w:top w:val="nil"/>
              <w:left w:val="nil"/>
              <w:bottom w:val="single" w:sz="12" w:space="0" w:color="000000"/>
              <w:right w:val="nil"/>
            </w:tcBorders>
          </w:tcPr>
          <w:p w:rsidR="00674B79" w:rsidRPr="0084329F" w:rsidRDefault="00674B79" w:rsidP="00E336E6">
            <w:pPr>
              <w:jc w:val="center"/>
              <w:rPr>
                <w:szCs w:val="21"/>
              </w:rPr>
            </w:pPr>
            <w:r w:rsidRPr="0084329F">
              <w:rPr>
                <w:szCs w:val="21"/>
              </w:rPr>
              <w:t>8572.02</w:t>
            </w:r>
          </w:p>
        </w:tc>
        <w:tc>
          <w:tcPr>
            <w:tcW w:w="1004" w:type="pct"/>
            <w:tcBorders>
              <w:top w:val="nil"/>
              <w:left w:val="nil"/>
              <w:bottom w:val="single" w:sz="12" w:space="0" w:color="000000"/>
              <w:right w:val="nil"/>
            </w:tcBorders>
          </w:tcPr>
          <w:p w:rsidR="00674B79" w:rsidRPr="0084329F" w:rsidRDefault="00674B79" w:rsidP="00E336E6">
            <w:pPr>
              <w:jc w:val="center"/>
              <w:rPr>
                <w:szCs w:val="21"/>
              </w:rPr>
            </w:pPr>
            <w:r w:rsidRPr="0084329F">
              <w:rPr>
                <w:szCs w:val="21"/>
              </w:rPr>
              <w:t>16.60%</w:t>
            </w:r>
          </w:p>
        </w:tc>
      </w:tr>
    </w:tbl>
    <w:p w:rsidR="00FF011B" w:rsidRDefault="00674B79" w:rsidP="00FF011B">
      <w:pPr>
        <w:pStyle w:val="reader-word-layer"/>
        <w:shd w:val="clear" w:color="auto" w:fill="FFFFFF"/>
        <w:spacing w:before="0" w:beforeAutospacing="0" w:after="0" w:afterAutospacing="0" w:line="288" w:lineRule="auto"/>
        <w:ind w:firstLineChars="200" w:firstLine="480"/>
      </w:pPr>
      <w:r w:rsidRPr="00B272C0">
        <w:rPr>
          <w:rFonts w:hint="eastAsia"/>
        </w:rPr>
        <w:t>营业支出基本是逐年增长的，而在</w:t>
      </w:r>
      <w:r w:rsidRPr="00B272C0">
        <w:t>2009</w:t>
      </w:r>
      <w:r w:rsidRPr="00B272C0">
        <w:rPr>
          <w:rFonts w:hint="eastAsia"/>
        </w:rPr>
        <w:t>年和</w:t>
      </w:r>
      <w:r w:rsidRPr="00B272C0">
        <w:t>2012</w:t>
      </w:r>
      <w:r w:rsidRPr="00B272C0">
        <w:rPr>
          <w:rFonts w:hint="eastAsia"/>
        </w:rPr>
        <w:t>年这两年出现增长相对比较缓慢的情况，</w:t>
      </w:r>
      <w:r w:rsidRPr="0088218E">
        <w:rPr>
          <w:rFonts w:hint="eastAsia"/>
        </w:rPr>
        <w:t>利息支出占比最大</w:t>
      </w:r>
      <w:r>
        <w:rPr>
          <w:rFonts w:hint="eastAsia"/>
        </w:rPr>
        <w:t>。</w:t>
      </w:r>
    </w:p>
    <w:p w:rsidR="00674B79" w:rsidRDefault="00674B79" w:rsidP="00FF011B">
      <w:pPr>
        <w:pStyle w:val="reader-word-layer"/>
        <w:shd w:val="clear" w:color="auto" w:fill="FFFFFF"/>
        <w:spacing w:before="0" w:beforeAutospacing="0" w:after="0" w:afterAutospacing="0" w:line="288" w:lineRule="auto"/>
        <w:ind w:firstLineChars="200" w:firstLine="480"/>
      </w:pPr>
      <w:r>
        <w:t>4.</w:t>
      </w:r>
      <w:r>
        <w:rPr>
          <w:rFonts w:hint="eastAsia"/>
        </w:rPr>
        <w:t>经营</w:t>
      </w:r>
      <w:r>
        <w:t>效益情况</w:t>
      </w:r>
    </w:p>
    <w:p w:rsidR="00674B79" w:rsidRPr="0084329F" w:rsidRDefault="00674B79" w:rsidP="00674B79">
      <w:pPr>
        <w:jc w:val="right"/>
        <w:rPr>
          <w:rFonts w:ascii="黑体" w:eastAsia="黑体" w:hAnsi="黑体"/>
          <w:bCs/>
          <w:szCs w:val="21"/>
        </w:rPr>
      </w:pPr>
      <w:r w:rsidRPr="0084329F">
        <w:rPr>
          <w:rFonts w:ascii="黑体" w:eastAsia="黑体" w:hAnsi="黑体" w:hint="eastAsia"/>
          <w:bCs/>
          <w:szCs w:val="21"/>
        </w:rPr>
        <w:t>表</w:t>
      </w:r>
      <w:r>
        <w:rPr>
          <w:rFonts w:ascii="黑体" w:eastAsia="黑体" w:hAnsi="黑体"/>
          <w:bCs/>
          <w:szCs w:val="21"/>
        </w:rPr>
        <w:t>5</w:t>
      </w:r>
      <w:r w:rsidRPr="0084329F">
        <w:rPr>
          <w:rFonts w:ascii="黑体" w:eastAsia="黑体" w:hAnsi="黑体"/>
          <w:bCs/>
          <w:szCs w:val="21"/>
        </w:rPr>
        <w:t>2008——2012</w:t>
      </w:r>
      <w:r w:rsidRPr="0084329F">
        <w:rPr>
          <w:rFonts w:ascii="黑体" w:eastAsia="黑体" w:hAnsi="黑体" w:hint="eastAsia"/>
          <w:bCs/>
          <w:szCs w:val="21"/>
        </w:rPr>
        <w:t>年的净利润情况单位：万元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668"/>
        <w:gridCol w:w="2592"/>
        <w:gridCol w:w="2131"/>
        <w:gridCol w:w="2131"/>
      </w:tblGrid>
      <w:tr w:rsidR="00674B79" w:rsidRPr="0088218E" w:rsidTr="00674B79">
        <w:tc>
          <w:tcPr>
            <w:tcW w:w="978" w:type="pct"/>
            <w:tcBorders>
              <w:top w:val="single" w:sz="12" w:space="0" w:color="000000"/>
              <w:left w:val="nil"/>
              <w:bottom w:val="single" w:sz="12" w:space="0" w:color="000000"/>
              <w:right w:val="nil"/>
            </w:tcBorders>
          </w:tcPr>
          <w:p w:rsidR="00674B79" w:rsidRPr="0088218E" w:rsidRDefault="00674B79" w:rsidP="00E336E6">
            <w:pPr>
              <w:jc w:val="center"/>
              <w:rPr>
                <w:rFonts w:ascii="黑体" w:eastAsia="黑体" w:hAnsi="黑体"/>
                <w:bCs/>
                <w:kern w:val="0"/>
                <w:szCs w:val="21"/>
              </w:rPr>
            </w:pPr>
          </w:p>
        </w:tc>
        <w:tc>
          <w:tcPr>
            <w:tcW w:w="1521" w:type="pct"/>
            <w:tcBorders>
              <w:top w:val="single" w:sz="12" w:space="0" w:color="000000"/>
              <w:left w:val="nil"/>
              <w:bottom w:val="single" w:sz="12" w:space="0" w:color="000000"/>
              <w:right w:val="nil"/>
            </w:tcBorders>
          </w:tcPr>
          <w:p w:rsidR="00674B79" w:rsidRPr="0084329F" w:rsidRDefault="00674B79" w:rsidP="00E336E6">
            <w:pPr>
              <w:jc w:val="center"/>
              <w:rPr>
                <w:rFonts w:ascii="宋体" w:hAnsi="宋体"/>
                <w:bCs/>
                <w:kern w:val="0"/>
                <w:szCs w:val="21"/>
              </w:rPr>
            </w:pPr>
            <w:r w:rsidRPr="0084329F">
              <w:rPr>
                <w:rFonts w:ascii="宋体" w:hAnsi="宋体" w:hint="eastAsia"/>
                <w:bCs/>
                <w:kern w:val="0"/>
                <w:szCs w:val="21"/>
              </w:rPr>
              <w:t>净利润本年累计数</w:t>
            </w:r>
          </w:p>
        </w:tc>
        <w:tc>
          <w:tcPr>
            <w:tcW w:w="1250" w:type="pct"/>
            <w:tcBorders>
              <w:top w:val="single" w:sz="12" w:space="0" w:color="000000"/>
              <w:left w:val="nil"/>
              <w:bottom w:val="single" w:sz="12" w:space="0" w:color="000000"/>
              <w:right w:val="nil"/>
            </w:tcBorders>
          </w:tcPr>
          <w:p w:rsidR="00674B79" w:rsidRPr="0084329F" w:rsidRDefault="00674B79" w:rsidP="00E336E6">
            <w:pPr>
              <w:jc w:val="center"/>
              <w:rPr>
                <w:rFonts w:ascii="宋体" w:hAnsi="宋体"/>
                <w:bCs/>
                <w:kern w:val="0"/>
                <w:szCs w:val="21"/>
              </w:rPr>
            </w:pPr>
            <w:r w:rsidRPr="0084329F">
              <w:rPr>
                <w:rFonts w:ascii="宋体" w:hAnsi="宋体" w:hint="eastAsia"/>
                <w:bCs/>
                <w:kern w:val="0"/>
                <w:szCs w:val="21"/>
              </w:rPr>
              <w:t>增长数额</w:t>
            </w:r>
          </w:p>
        </w:tc>
        <w:tc>
          <w:tcPr>
            <w:tcW w:w="1250" w:type="pct"/>
            <w:tcBorders>
              <w:top w:val="single" w:sz="12" w:space="0" w:color="000000"/>
              <w:left w:val="nil"/>
              <w:bottom w:val="single" w:sz="12" w:space="0" w:color="000000"/>
              <w:right w:val="nil"/>
            </w:tcBorders>
          </w:tcPr>
          <w:p w:rsidR="00674B79" w:rsidRPr="0084329F" w:rsidRDefault="00674B79" w:rsidP="00E336E6">
            <w:pPr>
              <w:jc w:val="center"/>
              <w:rPr>
                <w:rFonts w:ascii="宋体" w:hAnsi="宋体"/>
                <w:bCs/>
                <w:kern w:val="0"/>
                <w:szCs w:val="21"/>
              </w:rPr>
            </w:pPr>
            <w:r w:rsidRPr="0084329F">
              <w:rPr>
                <w:rFonts w:ascii="宋体" w:hAnsi="宋体" w:hint="eastAsia"/>
                <w:bCs/>
                <w:kern w:val="0"/>
                <w:szCs w:val="21"/>
              </w:rPr>
              <w:t>增长率</w:t>
            </w:r>
          </w:p>
        </w:tc>
      </w:tr>
      <w:tr w:rsidR="00674B79" w:rsidRPr="0088218E" w:rsidTr="00674B79">
        <w:tc>
          <w:tcPr>
            <w:tcW w:w="978" w:type="pct"/>
            <w:tcBorders>
              <w:top w:val="single" w:sz="12" w:space="0" w:color="000000"/>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2008</w:t>
            </w:r>
          </w:p>
        </w:tc>
        <w:tc>
          <w:tcPr>
            <w:tcW w:w="1521" w:type="pct"/>
            <w:tcBorders>
              <w:top w:val="single" w:sz="12" w:space="0" w:color="000000"/>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2128.64</w:t>
            </w:r>
          </w:p>
        </w:tc>
        <w:tc>
          <w:tcPr>
            <w:tcW w:w="1250" w:type="pct"/>
            <w:tcBorders>
              <w:top w:val="single" w:sz="12" w:space="0" w:color="000000"/>
              <w:left w:val="nil"/>
              <w:bottom w:val="nil"/>
              <w:right w:val="nil"/>
            </w:tcBorders>
          </w:tcPr>
          <w:p w:rsidR="00674B79" w:rsidRPr="0084329F" w:rsidRDefault="00674B79" w:rsidP="00E336E6">
            <w:pPr>
              <w:jc w:val="center"/>
              <w:rPr>
                <w:rFonts w:eastAsia="黑体"/>
                <w:bCs/>
                <w:kern w:val="0"/>
                <w:szCs w:val="21"/>
              </w:rPr>
            </w:pPr>
          </w:p>
        </w:tc>
        <w:tc>
          <w:tcPr>
            <w:tcW w:w="1250" w:type="pct"/>
            <w:tcBorders>
              <w:top w:val="single" w:sz="12" w:space="0" w:color="000000"/>
              <w:left w:val="nil"/>
              <w:bottom w:val="nil"/>
              <w:right w:val="nil"/>
            </w:tcBorders>
          </w:tcPr>
          <w:p w:rsidR="00674B79" w:rsidRPr="0084329F" w:rsidRDefault="00674B79" w:rsidP="00E336E6">
            <w:pPr>
              <w:jc w:val="center"/>
              <w:rPr>
                <w:rFonts w:eastAsia="黑体"/>
                <w:bCs/>
                <w:kern w:val="0"/>
                <w:szCs w:val="21"/>
              </w:rPr>
            </w:pPr>
          </w:p>
        </w:tc>
      </w:tr>
      <w:tr w:rsidR="00674B79" w:rsidRPr="0088218E" w:rsidTr="00674B79">
        <w:tc>
          <w:tcPr>
            <w:tcW w:w="978"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2009</w:t>
            </w:r>
          </w:p>
        </w:tc>
        <w:tc>
          <w:tcPr>
            <w:tcW w:w="1521"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2176.78</w:t>
            </w:r>
          </w:p>
        </w:tc>
        <w:tc>
          <w:tcPr>
            <w:tcW w:w="1250"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48.14</w:t>
            </w:r>
          </w:p>
        </w:tc>
        <w:tc>
          <w:tcPr>
            <w:tcW w:w="1250"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2.26%</w:t>
            </w:r>
          </w:p>
        </w:tc>
      </w:tr>
      <w:tr w:rsidR="00674B79" w:rsidRPr="0088218E" w:rsidTr="00674B79">
        <w:tc>
          <w:tcPr>
            <w:tcW w:w="978"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2010</w:t>
            </w:r>
          </w:p>
        </w:tc>
        <w:tc>
          <w:tcPr>
            <w:tcW w:w="1521"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2520.70</w:t>
            </w:r>
          </w:p>
        </w:tc>
        <w:tc>
          <w:tcPr>
            <w:tcW w:w="1250"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343.92</w:t>
            </w:r>
          </w:p>
        </w:tc>
        <w:tc>
          <w:tcPr>
            <w:tcW w:w="1250"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13.64%</w:t>
            </w:r>
          </w:p>
        </w:tc>
      </w:tr>
      <w:tr w:rsidR="00674B79" w:rsidRPr="0088218E" w:rsidTr="00674B79">
        <w:tc>
          <w:tcPr>
            <w:tcW w:w="978"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2011</w:t>
            </w:r>
          </w:p>
        </w:tc>
        <w:tc>
          <w:tcPr>
            <w:tcW w:w="1521"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8047.80</w:t>
            </w:r>
          </w:p>
        </w:tc>
        <w:tc>
          <w:tcPr>
            <w:tcW w:w="1250"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5527.10</w:t>
            </w:r>
          </w:p>
        </w:tc>
        <w:tc>
          <w:tcPr>
            <w:tcW w:w="1250" w:type="pct"/>
            <w:tcBorders>
              <w:top w:val="nil"/>
              <w:left w:val="nil"/>
              <w:bottom w:val="nil"/>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219.27%</w:t>
            </w:r>
          </w:p>
        </w:tc>
      </w:tr>
      <w:tr w:rsidR="00674B79" w:rsidRPr="0088218E" w:rsidTr="00674B79">
        <w:tc>
          <w:tcPr>
            <w:tcW w:w="978" w:type="pct"/>
            <w:tcBorders>
              <w:top w:val="nil"/>
              <w:left w:val="nil"/>
              <w:bottom w:val="single" w:sz="12" w:space="0" w:color="000000"/>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2012</w:t>
            </w:r>
          </w:p>
        </w:tc>
        <w:tc>
          <w:tcPr>
            <w:tcW w:w="1521" w:type="pct"/>
            <w:tcBorders>
              <w:top w:val="nil"/>
              <w:left w:val="nil"/>
              <w:bottom w:val="single" w:sz="12" w:space="0" w:color="000000"/>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8228.27</w:t>
            </w:r>
          </w:p>
        </w:tc>
        <w:tc>
          <w:tcPr>
            <w:tcW w:w="1250" w:type="pct"/>
            <w:tcBorders>
              <w:top w:val="nil"/>
              <w:left w:val="nil"/>
              <w:bottom w:val="single" w:sz="12" w:space="0" w:color="000000"/>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180.47</w:t>
            </w:r>
          </w:p>
        </w:tc>
        <w:tc>
          <w:tcPr>
            <w:tcW w:w="1250" w:type="pct"/>
            <w:tcBorders>
              <w:top w:val="nil"/>
              <w:left w:val="nil"/>
              <w:bottom w:val="single" w:sz="12" w:space="0" w:color="000000"/>
              <w:right w:val="nil"/>
            </w:tcBorders>
          </w:tcPr>
          <w:p w:rsidR="00674B79" w:rsidRPr="0084329F" w:rsidRDefault="00674B79" w:rsidP="00E336E6">
            <w:pPr>
              <w:jc w:val="center"/>
              <w:rPr>
                <w:rFonts w:eastAsia="黑体"/>
                <w:bCs/>
                <w:kern w:val="0"/>
                <w:szCs w:val="21"/>
              </w:rPr>
            </w:pPr>
            <w:r w:rsidRPr="0084329F">
              <w:rPr>
                <w:rFonts w:eastAsia="黑体"/>
                <w:bCs/>
                <w:kern w:val="0"/>
                <w:szCs w:val="21"/>
              </w:rPr>
              <w:t>2.24%</w:t>
            </w:r>
          </w:p>
        </w:tc>
      </w:tr>
    </w:tbl>
    <w:p w:rsidR="00674B79" w:rsidRPr="00674B79" w:rsidRDefault="00674B79" w:rsidP="00FF011B">
      <w:pPr>
        <w:pStyle w:val="reader-word-layer"/>
        <w:shd w:val="clear" w:color="auto" w:fill="FFFFFF"/>
        <w:spacing w:before="0" w:beforeAutospacing="0" w:after="0" w:afterAutospacing="0" w:line="288" w:lineRule="auto"/>
        <w:ind w:firstLineChars="200" w:firstLine="480"/>
      </w:pPr>
      <w:r w:rsidRPr="00B272C0">
        <w:rPr>
          <w:rFonts w:hint="eastAsia"/>
          <w:bCs/>
        </w:rPr>
        <w:t>泰兴农村商业银行自</w:t>
      </w:r>
      <w:r w:rsidRPr="00B272C0">
        <w:rPr>
          <w:bCs/>
        </w:rPr>
        <w:t>2008</w:t>
      </w:r>
      <w:r w:rsidRPr="00B272C0">
        <w:rPr>
          <w:rFonts w:hint="eastAsia"/>
          <w:bCs/>
        </w:rPr>
        <w:t>年到</w:t>
      </w:r>
      <w:r w:rsidRPr="00B272C0">
        <w:rPr>
          <w:bCs/>
        </w:rPr>
        <w:t>2012</w:t>
      </w:r>
      <w:r w:rsidRPr="00B272C0">
        <w:rPr>
          <w:rFonts w:hint="eastAsia"/>
          <w:bCs/>
        </w:rPr>
        <w:t>年连续</w:t>
      </w:r>
      <w:r w:rsidRPr="00B272C0">
        <w:rPr>
          <w:bCs/>
        </w:rPr>
        <w:t>5</w:t>
      </w:r>
      <w:r w:rsidRPr="00B272C0">
        <w:rPr>
          <w:rFonts w:hint="eastAsia"/>
          <w:bCs/>
        </w:rPr>
        <w:t>年净利润增长，从</w:t>
      </w:r>
      <w:r w:rsidRPr="00B272C0">
        <w:rPr>
          <w:bCs/>
        </w:rPr>
        <w:t>2008</w:t>
      </w:r>
      <w:r w:rsidRPr="00B272C0">
        <w:rPr>
          <w:rFonts w:hint="eastAsia"/>
          <w:bCs/>
        </w:rPr>
        <w:t>年的</w:t>
      </w:r>
      <w:r w:rsidRPr="00B272C0">
        <w:rPr>
          <w:bCs/>
        </w:rPr>
        <w:t>2128.64</w:t>
      </w:r>
      <w:r w:rsidRPr="00B272C0">
        <w:rPr>
          <w:rFonts w:hint="eastAsia"/>
          <w:bCs/>
        </w:rPr>
        <w:t>万元增长到</w:t>
      </w:r>
      <w:r w:rsidRPr="00B272C0">
        <w:rPr>
          <w:bCs/>
        </w:rPr>
        <w:t>2012</w:t>
      </w:r>
      <w:r w:rsidRPr="00B272C0">
        <w:rPr>
          <w:rFonts w:hint="eastAsia"/>
          <w:bCs/>
        </w:rPr>
        <w:t>年的</w:t>
      </w:r>
      <w:r w:rsidRPr="00B272C0">
        <w:rPr>
          <w:bCs/>
        </w:rPr>
        <w:t>8228.27</w:t>
      </w:r>
      <w:r w:rsidRPr="00B272C0">
        <w:rPr>
          <w:rFonts w:hint="eastAsia"/>
          <w:bCs/>
        </w:rPr>
        <w:t>万元，在</w:t>
      </w:r>
      <w:r w:rsidRPr="00B272C0">
        <w:rPr>
          <w:bCs/>
        </w:rPr>
        <w:t>2011</w:t>
      </w:r>
      <w:r w:rsidRPr="00B272C0">
        <w:rPr>
          <w:rFonts w:hint="eastAsia"/>
          <w:bCs/>
        </w:rPr>
        <w:t>年中由于在各项经营中收入都达到了增加，净利润也实现了大增长，增长了近</w:t>
      </w:r>
      <w:r w:rsidRPr="00B272C0">
        <w:rPr>
          <w:bCs/>
        </w:rPr>
        <w:t>5527.10</w:t>
      </w:r>
      <w:r w:rsidRPr="00B272C0">
        <w:rPr>
          <w:rFonts w:hint="eastAsia"/>
          <w:bCs/>
        </w:rPr>
        <w:t>万元。</w:t>
      </w:r>
    </w:p>
    <w:p w:rsidR="00FF011B" w:rsidRDefault="00674B79" w:rsidP="00FF011B">
      <w:pPr>
        <w:pStyle w:val="reader-word-layer"/>
        <w:shd w:val="clear" w:color="auto" w:fill="FFFFFF"/>
        <w:spacing w:before="0" w:beforeAutospacing="0" w:after="0" w:afterAutospacing="0" w:line="288" w:lineRule="auto"/>
        <w:ind w:firstLineChars="200" w:firstLine="480"/>
      </w:pPr>
      <w:r>
        <w:rPr>
          <w:rFonts w:hint="eastAsia"/>
        </w:rPr>
        <w:t>5.总体</w:t>
      </w:r>
      <w:r>
        <w:t>财务指标分析</w:t>
      </w:r>
    </w:p>
    <w:p w:rsidR="00674B79" w:rsidRPr="0084329F" w:rsidRDefault="00674B79" w:rsidP="00674B79">
      <w:pPr>
        <w:jc w:val="right"/>
        <w:rPr>
          <w:rFonts w:ascii="黑体" w:eastAsia="黑体" w:hAnsi="黑体"/>
          <w:szCs w:val="21"/>
        </w:rPr>
      </w:pPr>
      <w:r w:rsidRPr="0084329F">
        <w:rPr>
          <w:rFonts w:ascii="黑体" w:eastAsia="黑体" w:hAnsi="黑体" w:hint="eastAsia"/>
          <w:szCs w:val="21"/>
        </w:rPr>
        <w:t>表</w:t>
      </w:r>
      <w:r>
        <w:rPr>
          <w:rFonts w:ascii="黑体" w:eastAsia="黑体" w:hAnsi="黑体"/>
          <w:szCs w:val="21"/>
        </w:rPr>
        <w:t>6</w:t>
      </w:r>
      <w:r w:rsidRPr="0084329F">
        <w:rPr>
          <w:rFonts w:ascii="黑体" w:eastAsia="黑体" w:hAnsi="黑体" w:hint="eastAsia"/>
          <w:szCs w:val="21"/>
        </w:rPr>
        <w:t xml:space="preserve">  2011—2012泰兴农村商业银行财务指标           </w:t>
      </w:r>
      <w:r w:rsidRPr="0084329F">
        <w:rPr>
          <w:rFonts w:ascii="黑体" w:eastAsia="黑体" w:hAnsi="黑体" w:hint="eastAsia"/>
          <w:bCs/>
          <w:color w:val="000000"/>
          <w:szCs w:val="21"/>
          <w:lang w:val="zh-CN"/>
        </w:rPr>
        <w:t>（万元、%）</w:t>
      </w:r>
    </w:p>
    <w:tbl>
      <w:tblPr>
        <w:tblW w:w="5000" w:type="pct"/>
        <w:tblBorders>
          <w:top w:val="single" w:sz="8" w:space="0" w:color="000000"/>
          <w:bottom w:val="single" w:sz="8" w:space="0" w:color="000000"/>
        </w:tblBorders>
        <w:tblLook w:val="0660"/>
      </w:tblPr>
      <w:tblGrid>
        <w:gridCol w:w="2130"/>
        <w:gridCol w:w="2130"/>
        <w:gridCol w:w="2131"/>
        <w:gridCol w:w="2131"/>
      </w:tblGrid>
      <w:tr w:rsidR="00674B79" w:rsidRPr="004E6D51" w:rsidTr="00E336E6">
        <w:trPr>
          <w:trHeight w:val="397"/>
        </w:trPr>
        <w:tc>
          <w:tcPr>
            <w:tcW w:w="1250" w:type="pct"/>
            <w:tcBorders>
              <w:top w:val="single" w:sz="8" w:space="0" w:color="000000"/>
              <w:left w:val="nil"/>
              <w:bottom w:val="single" w:sz="8" w:space="0" w:color="000000"/>
              <w:right w:val="nil"/>
            </w:tcBorders>
            <w:noWrap/>
          </w:tcPr>
          <w:p w:rsidR="00674B79" w:rsidRPr="0084329F" w:rsidRDefault="00674B79" w:rsidP="00E336E6">
            <w:pPr>
              <w:jc w:val="center"/>
              <w:rPr>
                <w:rFonts w:ascii="宋体" w:hAnsi="宋体"/>
                <w:bCs/>
                <w:szCs w:val="21"/>
              </w:rPr>
            </w:pPr>
            <w:r w:rsidRPr="0084329F">
              <w:rPr>
                <w:rFonts w:ascii="宋体" w:hAnsi="宋体" w:hint="eastAsia"/>
                <w:bCs/>
                <w:szCs w:val="21"/>
                <w:lang w:val="zh-CN"/>
              </w:rPr>
              <w:t>项目</w:t>
            </w:r>
          </w:p>
        </w:tc>
        <w:tc>
          <w:tcPr>
            <w:tcW w:w="1250" w:type="pct"/>
            <w:tcBorders>
              <w:top w:val="single" w:sz="8" w:space="0" w:color="000000"/>
              <w:left w:val="nil"/>
              <w:bottom w:val="single" w:sz="8" w:space="0" w:color="000000"/>
              <w:right w:val="nil"/>
            </w:tcBorders>
          </w:tcPr>
          <w:p w:rsidR="00674B79" w:rsidRPr="0084329F" w:rsidRDefault="00674B79" w:rsidP="00E336E6">
            <w:pPr>
              <w:jc w:val="center"/>
              <w:rPr>
                <w:rFonts w:eastAsia="黑体"/>
                <w:bCs/>
                <w:szCs w:val="21"/>
              </w:rPr>
            </w:pPr>
            <w:r w:rsidRPr="0084329F">
              <w:rPr>
                <w:rFonts w:eastAsia="黑体"/>
                <w:bCs/>
                <w:szCs w:val="21"/>
                <w:lang w:val="zh-CN"/>
              </w:rPr>
              <w:t>2011</w:t>
            </w:r>
          </w:p>
        </w:tc>
        <w:tc>
          <w:tcPr>
            <w:tcW w:w="1250" w:type="pct"/>
            <w:tcBorders>
              <w:top w:val="single" w:sz="8" w:space="0" w:color="000000"/>
              <w:left w:val="nil"/>
              <w:bottom w:val="single" w:sz="8" w:space="0" w:color="000000"/>
              <w:right w:val="nil"/>
            </w:tcBorders>
          </w:tcPr>
          <w:p w:rsidR="00674B79" w:rsidRPr="0084329F" w:rsidRDefault="00674B79" w:rsidP="00E336E6">
            <w:pPr>
              <w:jc w:val="center"/>
              <w:rPr>
                <w:rFonts w:eastAsia="黑体"/>
                <w:bCs/>
                <w:szCs w:val="21"/>
              </w:rPr>
            </w:pPr>
            <w:r w:rsidRPr="0084329F">
              <w:rPr>
                <w:rFonts w:eastAsia="黑体"/>
                <w:bCs/>
                <w:szCs w:val="21"/>
                <w:lang w:val="zh-CN"/>
              </w:rPr>
              <w:t>2012</w:t>
            </w:r>
          </w:p>
        </w:tc>
        <w:tc>
          <w:tcPr>
            <w:tcW w:w="1250" w:type="pct"/>
            <w:tcBorders>
              <w:top w:val="single" w:sz="8" w:space="0" w:color="000000"/>
              <w:left w:val="nil"/>
              <w:bottom w:val="single" w:sz="8" w:space="0" w:color="000000"/>
              <w:right w:val="nil"/>
            </w:tcBorders>
          </w:tcPr>
          <w:p w:rsidR="00674B79" w:rsidRPr="0084329F" w:rsidRDefault="00674B79" w:rsidP="00E336E6">
            <w:pPr>
              <w:jc w:val="center"/>
              <w:rPr>
                <w:rFonts w:ascii="宋体" w:hAnsi="宋体"/>
                <w:bCs/>
                <w:szCs w:val="21"/>
              </w:rPr>
            </w:pPr>
            <w:r w:rsidRPr="0084329F">
              <w:rPr>
                <w:rFonts w:ascii="宋体" w:hAnsi="宋体" w:hint="eastAsia"/>
                <w:bCs/>
                <w:szCs w:val="21"/>
                <w:lang w:val="zh-CN"/>
              </w:rPr>
              <w:t>增减</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资产利润率</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1.03</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1.31</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0.28</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资本利润率</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14.75</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11.00</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-3.75</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百元贷款收息率</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8.01</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8.11</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0.1</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薪酬成本比</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57.02</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58.50</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1.48</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净收入</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37120</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45648</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8528</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金融增加值</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32913</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40846</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7933</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不良贷款率</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1.00</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1.48</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0.48</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贷款拨备覆盖率</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257.22</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269.11</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11.89</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不良资产拨备覆盖率</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104.72</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165.59</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60.87</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贷款拨备率</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2.58</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3.97</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1.39</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资本充足率</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12.31</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12.03</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-0.28</w:t>
            </w:r>
          </w:p>
        </w:tc>
      </w:tr>
      <w:tr w:rsidR="00674B79" w:rsidRPr="004E6D51" w:rsidTr="00E336E6">
        <w:trPr>
          <w:trHeight w:val="397"/>
        </w:trPr>
        <w:tc>
          <w:tcPr>
            <w:tcW w:w="1250" w:type="pct"/>
            <w:noWrap/>
            <w:vAlign w:val="center"/>
          </w:tcPr>
          <w:p w:rsidR="00674B79" w:rsidRPr="0084329F" w:rsidRDefault="00674B79" w:rsidP="00E336E6">
            <w:pPr>
              <w:jc w:val="left"/>
              <w:rPr>
                <w:rFonts w:ascii="宋体" w:hAnsi="宋体" w:cs="宋体"/>
                <w:kern w:val="0"/>
                <w:szCs w:val="21"/>
              </w:rPr>
            </w:pPr>
            <w:r w:rsidRPr="0084329F">
              <w:rPr>
                <w:rFonts w:ascii="宋体" w:hAnsi="宋体" w:cs="宋体" w:hint="eastAsia"/>
                <w:kern w:val="0"/>
                <w:szCs w:val="21"/>
              </w:rPr>
              <w:t>净资产</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21973</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42127</w:t>
            </w:r>
          </w:p>
        </w:tc>
        <w:tc>
          <w:tcPr>
            <w:tcW w:w="1250" w:type="pct"/>
            <w:vAlign w:val="center"/>
          </w:tcPr>
          <w:p w:rsidR="00674B79" w:rsidRPr="0084329F" w:rsidRDefault="00674B79" w:rsidP="00E336E6">
            <w:pPr>
              <w:jc w:val="center"/>
              <w:rPr>
                <w:rFonts w:eastAsia="黑体"/>
                <w:kern w:val="0"/>
                <w:szCs w:val="21"/>
              </w:rPr>
            </w:pPr>
            <w:r w:rsidRPr="0084329F">
              <w:rPr>
                <w:rFonts w:eastAsia="黑体"/>
                <w:kern w:val="0"/>
                <w:szCs w:val="21"/>
              </w:rPr>
              <w:t>20154</w:t>
            </w:r>
          </w:p>
        </w:tc>
      </w:tr>
    </w:tbl>
    <w:p w:rsidR="00FF011B" w:rsidRDefault="00674B79" w:rsidP="00121175">
      <w:pPr>
        <w:pStyle w:val="reader-word-layer"/>
        <w:shd w:val="clear" w:color="auto" w:fill="FFFFFF"/>
        <w:spacing w:before="0" w:beforeAutospacing="0" w:after="0" w:afterAutospacing="0" w:line="288" w:lineRule="auto"/>
        <w:ind w:firstLineChars="200" w:firstLine="480"/>
      </w:pPr>
      <w:r w:rsidRPr="00CF5529">
        <w:rPr>
          <w:rFonts w:hint="eastAsia"/>
          <w:bCs/>
        </w:rPr>
        <w:t>泰兴农商行2012年资产利润率为1.31%，较上年增加0.28个百分点，结合资产的定量分析，可见该行资产不仅是规模上的简单扩张，其带来的效益也在稳定增长。根据以上财务分析，我们可以初步得出：今年泰兴农商行的经营及财务状况良好，各项经营及财务指标均有所增长,经营规模不断扩大，业绩不断增长，盈利能力稳定提升，从而实现信用风险的有效覆盖，抗风险能力显著增强。</w:t>
      </w:r>
    </w:p>
    <w:p w:rsidR="0052162E" w:rsidRPr="0052162E" w:rsidRDefault="0052162E" w:rsidP="0052162E">
      <w:pPr>
        <w:pStyle w:val="reader-word-layer"/>
        <w:shd w:val="clear" w:color="auto" w:fill="FFFFFF"/>
        <w:spacing w:before="0" w:beforeAutospacing="0" w:after="0" w:afterAutospacing="0" w:line="288" w:lineRule="auto"/>
        <w:rPr>
          <w:b/>
        </w:rPr>
      </w:pPr>
      <w:r w:rsidRPr="0052162E">
        <w:rPr>
          <w:rFonts w:hint="eastAsia"/>
          <w:b/>
        </w:rPr>
        <w:t>（二）</w:t>
      </w:r>
      <w:r w:rsidR="00674B79">
        <w:rPr>
          <w:rFonts w:hint="eastAsia"/>
          <w:b/>
        </w:rPr>
        <w:t>贷款信用</w:t>
      </w:r>
      <w:r w:rsidR="00674B79">
        <w:rPr>
          <w:b/>
        </w:rPr>
        <w:t>风险</w:t>
      </w:r>
      <w:r w:rsidR="00674B79">
        <w:rPr>
          <w:rFonts w:hint="eastAsia"/>
          <w:b/>
        </w:rPr>
        <w:t>分析</w:t>
      </w:r>
    </w:p>
    <w:p w:rsidR="00674B79" w:rsidRDefault="00674B79" w:rsidP="002D0FD1">
      <w:pPr>
        <w:pStyle w:val="reader-word-layer"/>
        <w:shd w:val="clear" w:color="auto" w:fill="FFFFFF"/>
        <w:spacing w:before="0" w:beforeAutospacing="0" w:after="0" w:afterAutospacing="0" w:line="288" w:lineRule="auto"/>
        <w:ind w:firstLineChars="200" w:firstLine="480"/>
        <w:rPr>
          <w:rFonts w:ascii="Times New Roman"/>
        </w:rPr>
      </w:pPr>
      <w:r>
        <w:rPr>
          <w:rFonts w:ascii="Times New Roman" w:hint="eastAsia"/>
        </w:rPr>
        <w:lastRenderedPageBreak/>
        <w:t>1</w:t>
      </w:r>
      <w:r>
        <w:rPr>
          <w:rFonts w:ascii="Times New Roman"/>
        </w:rPr>
        <w:t>.</w:t>
      </w:r>
      <w:r>
        <w:rPr>
          <w:rFonts w:ascii="Times New Roman" w:hint="eastAsia"/>
        </w:rPr>
        <w:t>总贷款情况</w:t>
      </w:r>
      <w:r>
        <w:rPr>
          <w:rFonts w:ascii="Times New Roman"/>
        </w:rPr>
        <w:t>：</w:t>
      </w:r>
    </w:p>
    <w:p w:rsidR="00674B79" w:rsidRDefault="00674B79" w:rsidP="002D0FD1">
      <w:pPr>
        <w:pStyle w:val="reader-word-layer"/>
        <w:shd w:val="clear" w:color="auto" w:fill="FFFFFF"/>
        <w:spacing w:before="0" w:beforeAutospacing="0" w:after="0" w:afterAutospacing="0" w:line="288" w:lineRule="auto"/>
        <w:ind w:firstLineChars="200" w:firstLine="480"/>
        <w:rPr>
          <w:rFonts w:ascii="Times New Roman"/>
        </w:rPr>
      </w:pPr>
      <w:r>
        <w:rPr>
          <w:rFonts w:hint="eastAsia"/>
        </w:rPr>
        <w:t>截止2012年12月末，泰兴农村商业银行贷款余额774473.14万元，比年初上升126239.26万元，其中正常贷款余额763036.43万元（贴现95901.74万元），比年初上升121311.77万元，不良贷款余额11436.71万元，比年初上升4927.49万元，占各项贷款余额的比为1.48％，比年初上升0.48个百分点。</w:t>
      </w:r>
    </w:p>
    <w:p w:rsidR="00674B79" w:rsidRDefault="00674B79" w:rsidP="002D0FD1">
      <w:pPr>
        <w:pStyle w:val="reader-word-layer"/>
        <w:shd w:val="clear" w:color="auto" w:fill="FFFFFF"/>
        <w:spacing w:before="0" w:beforeAutospacing="0" w:after="0" w:afterAutospacing="0" w:line="288" w:lineRule="auto"/>
        <w:ind w:firstLineChars="200" w:firstLine="480"/>
        <w:rPr>
          <w:rFonts w:ascii="Times New Roman"/>
        </w:rPr>
      </w:pPr>
      <w:r>
        <w:rPr>
          <w:rFonts w:hint="eastAsia"/>
        </w:rPr>
        <w:t>从贷款主体来看，公司类贷款增长率远高于个人贷款增长率，</w:t>
      </w:r>
      <w:r>
        <w:rPr>
          <w:rFonts w:hint="eastAsia"/>
          <w:bCs/>
        </w:rPr>
        <w:t>年末余额占贷款总余额半数以上；从贷款期限来看，农商行以</w:t>
      </w:r>
      <w:r>
        <w:rPr>
          <w:bCs/>
        </w:rPr>
        <w:t>短期贷款为主，中长期贷款为辅</w:t>
      </w:r>
      <w:r>
        <w:rPr>
          <w:rFonts w:hint="eastAsia"/>
          <w:bCs/>
        </w:rPr>
        <w:t>；从贷款行业来看，制造业贷款在境内贷款中总数最多，建筑业、批发零售业其次；从逾期天数来看，企业逾期贷款中，有过半数逾期一年以上；从担保方式来看，企业贷款中，抵（质）押贷款占半数以上，信用贷款额非常低；从企业规模上看，小型企业贷款在总企业贷款中占的比例最多，高达一半以上，大型、中型、微型企业贷款最少。</w:t>
      </w:r>
    </w:p>
    <w:p w:rsidR="00674B79" w:rsidRDefault="00674B79" w:rsidP="002D0FD1">
      <w:pPr>
        <w:pStyle w:val="reader-word-layer"/>
        <w:shd w:val="clear" w:color="auto" w:fill="FFFFFF"/>
        <w:spacing w:before="0" w:beforeAutospacing="0" w:after="0" w:afterAutospacing="0" w:line="288" w:lineRule="auto"/>
        <w:ind w:firstLineChars="200" w:firstLine="480"/>
        <w:rPr>
          <w:rFonts w:ascii="Times New Roman"/>
        </w:rPr>
      </w:pPr>
      <w:r>
        <w:rPr>
          <w:rFonts w:ascii="Times New Roman" w:hint="eastAsia"/>
        </w:rPr>
        <w:t>2.</w:t>
      </w:r>
      <w:r w:rsidRPr="002D03E1">
        <w:rPr>
          <w:rFonts w:hint="eastAsia"/>
        </w:rPr>
        <w:t>贷款信用风险分析</w:t>
      </w:r>
    </w:p>
    <w:p w:rsidR="00674B79" w:rsidRDefault="00674B79" w:rsidP="002D0FD1">
      <w:pPr>
        <w:pStyle w:val="reader-word-layer"/>
        <w:shd w:val="clear" w:color="auto" w:fill="FFFFFF"/>
        <w:spacing w:before="0" w:beforeAutospacing="0" w:after="0" w:afterAutospacing="0" w:line="288" w:lineRule="auto"/>
        <w:ind w:firstLineChars="200" w:firstLine="480"/>
        <w:rPr>
          <w:rFonts w:ascii="Times New Roman"/>
        </w:rPr>
      </w:pPr>
      <w:r>
        <w:rPr>
          <w:rFonts w:ascii="Times New Roman" w:hint="eastAsia"/>
        </w:rPr>
        <w:t>（</w:t>
      </w:r>
      <w:r>
        <w:rPr>
          <w:rFonts w:ascii="Times New Roman" w:hint="eastAsia"/>
        </w:rPr>
        <w:t>1</w:t>
      </w:r>
      <w:r>
        <w:rPr>
          <w:rFonts w:ascii="Times New Roman"/>
        </w:rPr>
        <w:t>）</w:t>
      </w:r>
      <w:r>
        <w:rPr>
          <w:rFonts w:hint="eastAsia"/>
        </w:rPr>
        <w:t>不良贷款持续下降，2012年略有反弹</w:t>
      </w:r>
    </w:p>
    <w:p w:rsidR="00674B79" w:rsidRPr="00CC3D6B" w:rsidRDefault="00674B79" w:rsidP="00C27CD3">
      <w:pPr>
        <w:pStyle w:val="11"/>
        <w:wordWrap w:val="0"/>
        <w:spacing w:line="288" w:lineRule="auto"/>
        <w:ind w:firstLineChars="0" w:firstLine="0"/>
        <w:jc w:val="right"/>
        <w:rPr>
          <w:rFonts w:ascii="黑体" w:eastAsia="黑体" w:hAnsi="黑体"/>
          <w:sz w:val="21"/>
          <w:szCs w:val="21"/>
        </w:rPr>
      </w:pPr>
      <w:r w:rsidRPr="00CC3D6B">
        <w:rPr>
          <w:rFonts w:ascii="黑体" w:eastAsia="黑体" w:hAnsi="黑体" w:hint="eastAsia"/>
          <w:sz w:val="21"/>
          <w:szCs w:val="21"/>
        </w:rPr>
        <w:t>表</w:t>
      </w:r>
      <w:r>
        <w:rPr>
          <w:rFonts w:ascii="黑体" w:eastAsia="黑体" w:hAnsi="黑体"/>
          <w:sz w:val="21"/>
          <w:szCs w:val="21"/>
        </w:rPr>
        <w:t>7</w:t>
      </w:r>
      <w:r w:rsidRPr="00CC3D6B">
        <w:rPr>
          <w:rFonts w:ascii="黑体" w:eastAsia="黑体" w:hAnsi="黑体" w:hint="eastAsia"/>
          <w:sz w:val="21"/>
          <w:szCs w:val="21"/>
        </w:rPr>
        <w:t xml:space="preserve">  2007—2012年不良贷款余额（五级）       单位：元</w:t>
      </w:r>
    </w:p>
    <w:tbl>
      <w:tblPr>
        <w:tblW w:w="5000" w:type="pct"/>
        <w:jc w:val="center"/>
        <w:tblBorders>
          <w:top w:val="single" w:sz="8" w:space="0" w:color="000000"/>
          <w:bottom w:val="single" w:sz="8" w:space="0" w:color="000000"/>
        </w:tblBorders>
        <w:tblLook w:val="0000"/>
      </w:tblPr>
      <w:tblGrid>
        <w:gridCol w:w="1220"/>
        <w:gridCol w:w="1860"/>
        <w:gridCol w:w="2003"/>
        <w:gridCol w:w="1428"/>
        <w:gridCol w:w="2011"/>
      </w:tblGrid>
      <w:tr w:rsidR="00674B79" w:rsidRPr="002D03E1" w:rsidTr="00E336E6">
        <w:trPr>
          <w:trHeight w:val="270"/>
          <w:jc w:val="center"/>
        </w:trPr>
        <w:tc>
          <w:tcPr>
            <w:tcW w:w="716" w:type="pct"/>
            <w:tcBorders>
              <w:top w:val="single" w:sz="4" w:space="0" w:color="auto"/>
              <w:left w:val="nil"/>
              <w:bottom w:val="single" w:sz="4" w:space="0" w:color="auto"/>
              <w:right w:val="nil"/>
            </w:tcBorders>
          </w:tcPr>
          <w:p w:rsidR="00674B79" w:rsidRPr="002D03E1" w:rsidRDefault="00674B79" w:rsidP="00E336E6">
            <w:pPr>
              <w:widowControl/>
              <w:jc w:val="center"/>
              <w:rPr>
                <w:rFonts w:ascii="黑体" w:eastAsia="黑体" w:hAnsi="黑体" w:cs="宋体"/>
                <w:color w:val="000000"/>
                <w:kern w:val="0"/>
                <w:szCs w:val="21"/>
              </w:rPr>
            </w:pPr>
          </w:p>
        </w:tc>
        <w:tc>
          <w:tcPr>
            <w:tcW w:w="1091" w:type="pct"/>
            <w:tcBorders>
              <w:top w:val="single" w:sz="4" w:space="0" w:color="auto"/>
              <w:left w:val="nil"/>
              <w:bottom w:val="single" w:sz="4" w:space="0" w:color="auto"/>
              <w:right w:val="nil"/>
            </w:tcBorders>
          </w:tcPr>
          <w:p w:rsidR="00674B79" w:rsidRPr="00CC3D6B" w:rsidRDefault="00674B79" w:rsidP="00E336E6">
            <w:pPr>
              <w:widowControl/>
              <w:jc w:val="center"/>
              <w:rPr>
                <w:rFonts w:ascii="宋体" w:hAnsi="宋体" w:cs="宋体"/>
                <w:color w:val="000000"/>
                <w:kern w:val="0"/>
                <w:szCs w:val="21"/>
              </w:rPr>
            </w:pPr>
            <w:r w:rsidRPr="00CC3D6B">
              <w:rPr>
                <w:rFonts w:ascii="宋体" w:hAnsi="宋体" w:cs="宋体" w:hint="eastAsia"/>
                <w:color w:val="000000"/>
                <w:kern w:val="0"/>
                <w:szCs w:val="21"/>
              </w:rPr>
              <w:t>不良贷款</w:t>
            </w:r>
          </w:p>
        </w:tc>
        <w:tc>
          <w:tcPr>
            <w:tcW w:w="1175" w:type="pct"/>
            <w:tcBorders>
              <w:top w:val="single" w:sz="4" w:space="0" w:color="auto"/>
              <w:left w:val="nil"/>
              <w:bottom w:val="single" w:sz="4" w:space="0" w:color="auto"/>
              <w:right w:val="nil"/>
            </w:tcBorders>
          </w:tcPr>
          <w:p w:rsidR="00674B79" w:rsidRPr="00CC3D6B" w:rsidRDefault="00674B79" w:rsidP="00E336E6">
            <w:pPr>
              <w:widowControl/>
              <w:jc w:val="center"/>
              <w:rPr>
                <w:rFonts w:ascii="宋体" w:hAnsi="宋体" w:cs="宋体"/>
                <w:color w:val="000000"/>
                <w:kern w:val="0"/>
                <w:szCs w:val="21"/>
              </w:rPr>
            </w:pPr>
            <w:r w:rsidRPr="00CC3D6B">
              <w:rPr>
                <w:rFonts w:ascii="宋体" w:hAnsi="宋体" w:cs="宋体" w:hint="eastAsia"/>
                <w:color w:val="000000"/>
                <w:kern w:val="0"/>
                <w:szCs w:val="21"/>
              </w:rPr>
              <w:t>增长额</w:t>
            </w:r>
          </w:p>
        </w:tc>
        <w:tc>
          <w:tcPr>
            <w:tcW w:w="838" w:type="pct"/>
            <w:tcBorders>
              <w:top w:val="single" w:sz="4" w:space="0" w:color="auto"/>
              <w:left w:val="nil"/>
              <w:bottom w:val="single" w:sz="4" w:space="0" w:color="auto"/>
              <w:right w:val="nil"/>
            </w:tcBorders>
          </w:tcPr>
          <w:p w:rsidR="00674B79" w:rsidRPr="00CC3D6B" w:rsidRDefault="00674B79" w:rsidP="00E336E6">
            <w:pPr>
              <w:widowControl/>
              <w:jc w:val="center"/>
              <w:rPr>
                <w:rFonts w:ascii="宋体" w:hAnsi="宋体" w:cs="宋体"/>
                <w:color w:val="000000"/>
                <w:kern w:val="0"/>
                <w:szCs w:val="21"/>
              </w:rPr>
            </w:pPr>
            <w:r w:rsidRPr="00CC3D6B">
              <w:rPr>
                <w:rFonts w:ascii="宋体" w:hAnsi="宋体" w:cs="宋体" w:hint="eastAsia"/>
                <w:color w:val="000000"/>
                <w:kern w:val="0"/>
                <w:szCs w:val="21"/>
              </w:rPr>
              <w:t>增长率</w:t>
            </w:r>
          </w:p>
        </w:tc>
        <w:tc>
          <w:tcPr>
            <w:tcW w:w="1180" w:type="pct"/>
            <w:tcBorders>
              <w:top w:val="single" w:sz="4" w:space="0" w:color="auto"/>
              <w:left w:val="nil"/>
              <w:bottom w:val="single" w:sz="4" w:space="0" w:color="auto"/>
              <w:right w:val="nil"/>
            </w:tcBorders>
          </w:tcPr>
          <w:p w:rsidR="00674B79" w:rsidRPr="00CC3D6B" w:rsidRDefault="00674B79" w:rsidP="00E336E6">
            <w:pPr>
              <w:widowControl/>
              <w:jc w:val="center"/>
              <w:rPr>
                <w:rFonts w:ascii="宋体" w:hAnsi="宋体" w:cs="宋体"/>
                <w:color w:val="000000"/>
                <w:kern w:val="0"/>
                <w:szCs w:val="21"/>
              </w:rPr>
            </w:pPr>
            <w:r w:rsidRPr="00CC3D6B">
              <w:rPr>
                <w:rFonts w:ascii="宋体" w:hAnsi="宋体" w:cs="宋体" w:hint="eastAsia"/>
                <w:color w:val="000000"/>
                <w:kern w:val="0"/>
                <w:szCs w:val="21"/>
              </w:rPr>
              <w:t>占贷款总额比</w:t>
            </w:r>
          </w:p>
        </w:tc>
      </w:tr>
      <w:tr w:rsidR="00674B79" w:rsidRPr="002D03E1" w:rsidTr="00E336E6">
        <w:trPr>
          <w:trHeight w:val="270"/>
          <w:jc w:val="center"/>
        </w:trPr>
        <w:tc>
          <w:tcPr>
            <w:tcW w:w="716" w:type="pct"/>
            <w:tcBorders>
              <w:top w:val="single" w:sz="4" w:space="0" w:color="auto"/>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2007</w:t>
            </w:r>
            <w:r w:rsidRPr="00CC3D6B">
              <w:rPr>
                <w:rFonts w:eastAsia="黑体" w:hAnsi="黑体"/>
                <w:color w:val="000000"/>
                <w:kern w:val="0"/>
                <w:szCs w:val="21"/>
              </w:rPr>
              <w:t>年</w:t>
            </w:r>
          </w:p>
        </w:tc>
        <w:tc>
          <w:tcPr>
            <w:tcW w:w="1091" w:type="pct"/>
            <w:tcBorders>
              <w:top w:val="single" w:sz="4" w:space="0" w:color="auto"/>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553798595.9</w:t>
            </w:r>
          </w:p>
        </w:tc>
        <w:tc>
          <w:tcPr>
            <w:tcW w:w="1175" w:type="pct"/>
            <w:tcBorders>
              <w:top w:val="single" w:sz="4" w:space="0" w:color="auto"/>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-152256171.0</w:t>
            </w:r>
          </w:p>
        </w:tc>
        <w:tc>
          <w:tcPr>
            <w:tcW w:w="838" w:type="pct"/>
            <w:tcBorders>
              <w:top w:val="single" w:sz="4" w:space="0" w:color="auto"/>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-27.49%</w:t>
            </w:r>
          </w:p>
        </w:tc>
        <w:tc>
          <w:tcPr>
            <w:tcW w:w="1180" w:type="pct"/>
            <w:tcBorders>
              <w:top w:val="single" w:sz="4" w:space="0" w:color="auto"/>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19.36%</w:t>
            </w:r>
          </w:p>
        </w:tc>
      </w:tr>
      <w:tr w:rsidR="00674B79" w:rsidRPr="002D03E1" w:rsidTr="00E336E6">
        <w:trPr>
          <w:trHeight w:val="270"/>
          <w:jc w:val="center"/>
        </w:trPr>
        <w:tc>
          <w:tcPr>
            <w:tcW w:w="716"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2008</w:t>
            </w:r>
            <w:r w:rsidRPr="00CC3D6B">
              <w:rPr>
                <w:rFonts w:eastAsia="黑体" w:hAnsi="黑体"/>
                <w:color w:val="000000"/>
                <w:kern w:val="0"/>
                <w:szCs w:val="21"/>
              </w:rPr>
              <w:t>年</w:t>
            </w:r>
          </w:p>
        </w:tc>
        <w:tc>
          <w:tcPr>
            <w:tcW w:w="1091"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523479622.9</w:t>
            </w:r>
          </w:p>
        </w:tc>
        <w:tc>
          <w:tcPr>
            <w:tcW w:w="1175"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-30318972.9</w:t>
            </w:r>
          </w:p>
        </w:tc>
        <w:tc>
          <w:tcPr>
            <w:tcW w:w="838"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-5.79%</w:t>
            </w:r>
          </w:p>
        </w:tc>
        <w:tc>
          <w:tcPr>
            <w:tcW w:w="1180"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15.93%</w:t>
            </w:r>
          </w:p>
        </w:tc>
      </w:tr>
      <w:tr w:rsidR="00674B79" w:rsidRPr="002D03E1" w:rsidTr="00E336E6">
        <w:trPr>
          <w:trHeight w:val="270"/>
          <w:jc w:val="center"/>
        </w:trPr>
        <w:tc>
          <w:tcPr>
            <w:tcW w:w="716"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2009</w:t>
            </w:r>
            <w:r w:rsidRPr="00CC3D6B">
              <w:rPr>
                <w:rFonts w:eastAsia="黑体" w:hAnsi="黑体"/>
                <w:color w:val="000000"/>
                <w:kern w:val="0"/>
                <w:szCs w:val="21"/>
              </w:rPr>
              <w:t>年</w:t>
            </w:r>
          </w:p>
        </w:tc>
        <w:tc>
          <w:tcPr>
            <w:tcW w:w="1091"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400661591.5</w:t>
            </w:r>
          </w:p>
        </w:tc>
        <w:tc>
          <w:tcPr>
            <w:tcW w:w="1175"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-122818031.3</w:t>
            </w:r>
          </w:p>
        </w:tc>
        <w:tc>
          <w:tcPr>
            <w:tcW w:w="838"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-30.65%</w:t>
            </w:r>
          </w:p>
        </w:tc>
        <w:tc>
          <w:tcPr>
            <w:tcW w:w="1180"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9.93%</w:t>
            </w:r>
          </w:p>
        </w:tc>
      </w:tr>
      <w:tr w:rsidR="00674B79" w:rsidRPr="002D03E1" w:rsidTr="00E336E6">
        <w:trPr>
          <w:trHeight w:val="270"/>
          <w:jc w:val="center"/>
        </w:trPr>
        <w:tc>
          <w:tcPr>
            <w:tcW w:w="716"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2010</w:t>
            </w:r>
            <w:r w:rsidRPr="00CC3D6B">
              <w:rPr>
                <w:rFonts w:eastAsia="黑体" w:hAnsi="黑体"/>
                <w:color w:val="000000"/>
                <w:kern w:val="0"/>
                <w:szCs w:val="21"/>
              </w:rPr>
              <w:t>年</w:t>
            </w:r>
          </w:p>
        </w:tc>
        <w:tc>
          <w:tcPr>
            <w:tcW w:w="1091"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328512393.4</w:t>
            </w:r>
          </w:p>
        </w:tc>
        <w:tc>
          <w:tcPr>
            <w:tcW w:w="1175"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-72149198.1</w:t>
            </w:r>
          </w:p>
        </w:tc>
        <w:tc>
          <w:tcPr>
            <w:tcW w:w="838"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-21.96%</w:t>
            </w:r>
          </w:p>
        </w:tc>
        <w:tc>
          <w:tcPr>
            <w:tcW w:w="1180"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6.23%</w:t>
            </w:r>
          </w:p>
        </w:tc>
      </w:tr>
      <w:tr w:rsidR="00674B79" w:rsidRPr="002D03E1" w:rsidTr="00E336E6">
        <w:trPr>
          <w:trHeight w:val="270"/>
          <w:jc w:val="center"/>
        </w:trPr>
        <w:tc>
          <w:tcPr>
            <w:tcW w:w="716"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2011</w:t>
            </w:r>
            <w:r w:rsidRPr="00CC3D6B">
              <w:rPr>
                <w:rFonts w:eastAsia="黑体" w:hAnsi="黑体"/>
                <w:color w:val="000000"/>
                <w:kern w:val="0"/>
                <w:szCs w:val="21"/>
              </w:rPr>
              <w:t>年</w:t>
            </w:r>
          </w:p>
        </w:tc>
        <w:tc>
          <w:tcPr>
            <w:tcW w:w="1091"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65092216.6</w:t>
            </w:r>
          </w:p>
        </w:tc>
        <w:tc>
          <w:tcPr>
            <w:tcW w:w="1175"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-263420176.8</w:t>
            </w:r>
          </w:p>
        </w:tc>
        <w:tc>
          <w:tcPr>
            <w:tcW w:w="838"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-404.69%</w:t>
            </w:r>
          </w:p>
        </w:tc>
        <w:tc>
          <w:tcPr>
            <w:tcW w:w="1180" w:type="pct"/>
            <w:tcBorders>
              <w:top w:val="nil"/>
              <w:left w:val="nil"/>
              <w:bottom w:val="nil"/>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1.00%</w:t>
            </w:r>
          </w:p>
        </w:tc>
      </w:tr>
      <w:tr w:rsidR="00674B79" w:rsidRPr="002D03E1" w:rsidTr="00E336E6">
        <w:trPr>
          <w:trHeight w:val="270"/>
          <w:jc w:val="center"/>
        </w:trPr>
        <w:tc>
          <w:tcPr>
            <w:tcW w:w="716" w:type="pct"/>
            <w:tcBorders>
              <w:top w:val="nil"/>
              <w:left w:val="nil"/>
              <w:bottom w:val="single" w:sz="4" w:space="0" w:color="auto"/>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2012</w:t>
            </w:r>
            <w:r w:rsidRPr="00CC3D6B">
              <w:rPr>
                <w:rFonts w:eastAsia="黑体" w:hAnsi="黑体"/>
                <w:color w:val="000000"/>
                <w:kern w:val="0"/>
                <w:szCs w:val="21"/>
              </w:rPr>
              <w:t>年</w:t>
            </w:r>
          </w:p>
        </w:tc>
        <w:tc>
          <w:tcPr>
            <w:tcW w:w="1091" w:type="pct"/>
            <w:tcBorders>
              <w:top w:val="nil"/>
              <w:left w:val="nil"/>
              <w:bottom w:val="single" w:sz="4" w:space="0" w:color="auto"/>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114367100.0</w:t>
            </w:r>
          </w:p>
        </w:tc>
        <w:tc>
          <w:tcPr>
            <w:tcW w:w="1175" w:type="pct"/>
            <w:tcBorders>
              <w:top w:val="nil"/>
              <w:left w:val="nil"/>
              <w:bottom w:val="single" w:sz="4" w:space="0" w:color="auto"/>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49274883.4</w:t>
            </w:r>
          </w:p>
        </w:tc>
        <w:tc>
          <w:tcPr>
            <w:tcW w:w="838" w:type="pct"/>
            <w:tcBorders>
              <w:top w:val="nil"/>
              <w:left w:val="nil"/>
              <w:bottom w:val="single" w:sz="4" w:space="0" w:color="auto"/>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43.08%</w:t>
            </w:r>
          </w:p>
        </w:tc>
        <w:tc>
          <w:tcPr>
            <w:tcW w:w="1180" w:type="pct"/>
            <w:tcBorders>
              <w:top w:val="nil"/>
              <w:left w:val="nil"/>
              <w:bottom w:val="single" w:sz="4" w:space="0" w:color="auto"/>
              <w:right w:val="nil"/>
            </w:tcBorders>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1.48%</w:t>
            </w:r>
          </w:p>
        </w:tc>
      </w:tr>
    </w:tbl>
    <w:p w:rsidR="00674B79" w:rsidRDefault="00674B79" w:rsidP="002D0FD1">
      <w:pPr>
        <w:pStyle w:val="reader-word-layer"/>
        <w:shd w:val="clear" w:color="auto" w:fill="FFFFFF"/>
        <w:spacing w:before="0" w:beforeAutospacing="0" w:after="0" w:afterAutospacing="0" w:line="288" w:lineRule="auto"/>
        <w:ind w:firstLineChars="200" w:firstLine="480"/>
      </w:pPr>
      <w:r>
        <w:rPr>
          <w:rFonts w:ascii="Times New Roman" w:hint="eastAsia"/>
        </w:rPr>
        <w:t>（</w:t>
      </w:r>
      <w:r>
        <w:rPr>
          <w:rFonts w:ascii="Times New Roman" w:hint="eastAsia"/>
        </w:rPr>
        <w:t>2</w:t>
      </w:r>
      <w:r>
        <w:rPr>
          <w:rFonts w:ascii="Times New Roman"/>
        </w:rPr>
        <w:t>）</w:t>
      </w:r>
      <w:r>
        <w:rPr>
          <w:rFonts w:hint="eastAsia"/>
        </w:rPr>
        <w:t>新增不良贷款中农户贷款占大半以上</w:t>
      </w:r>
    </w:p>
    <w:p w:rsidR="00674B79" w:rsidRPr="00CC3D6B" w:rsidRDefault="00674B79" w:rsidP="00C27CD3">
      <w:pPr>
        <w:pStyle w:val="11"/>
        <w:wordWrap w:val="0"/>
        <w:spacing w:line="288" w:lineRule="auto"/>
        <w:ind w:firstLineChars="0" w:firstLine="0"/>
        <w:jc w:val="right"/>
        <w:rPr>
          <w:rFonts w:ascii="黑体" w:eastAsia="黑体" w:hAnsi="黑体" w:cs="宋体"/>
          <w:bCs/>
          <w:color w:val="000000"/>
          <w:kern w:val="0"/>
          <w:sz w:val="21"/>
          <w:szCs w:val="21"/>
        </w:rPr>
      </w:pPr>
      <w:r w:rsidRPr="00CC3D6B">
        <w:rPr>
          <w:rFonts w:ascii="黑体" w:eastAsia="黑体" w:hAnsi="黑体" w:cs="宋体" w:hint="eastAsia"/>
          <w:bCs/>
          <w:color w:val="000000"/>
          <w:kern w:val="0"/>
          <w:sz w:val="21"/>
          <w:szCs w:val="21"/>
        </w:rPr>
        <w:t>表</w:t>
      </w:r>
      <w:r>
        <w:rPr>
          <w:rFonts w:ascii="黑体" w:eastAsia="黑体" w:hAnsi="黑体" w:cs="宋体"/>
          <w:bCs/>
          <w:color w:val="000000"/>
          <w:kern w:val="0"/>
          <w:sz w:val="21"/>
          <w:szCs w:val="21"/>
        </w:rPr>
        <w:t>8</w:t>
      </w:r>
      <w:r w:rsidRPr="00CC3D6B">
        <w:rPr>
          <w:rFonts w:ascii="黑体" w:eastAsia="黑体" w:hAnsi="黑体" w:cs="宋体" w:hint="eastAsia"/>
          <w:bCs/>
          <w:color w:val="000000"/>
          <w:kern w:val="0"/>
          <w:sz w:val="21"/>
          <w:szCs w:val="21"/>
        </w:rPr>
        <w:t xml:space="preserve">  2012上半年不良贷款统计表               单位：元</w:t>
      </w:r>
    </w:p>
    <w:tbl>
      <w:tblPr>
        <w:tblW w:w="5000" w:type="pct"/>
        <w:tblLook w:val="0000"/>
      </w:tblPr>
      <w:tblGrid>
        <w:gridCol w:w="1953"/>
        <w:gridCol w:w="1953"/>
        <w:gridCol w:w="2308"/>
        <w:gridCol w:w="2308"/>
      </w:tblGrid>
      <w:tr w:rsidR="00674B79" w:rsidRPr="002D03E1" w:rsidTr="00E336E6">
        <w:trPr>
          <w:trHeight w:val="285"/>
        </w:trPr>
        <w:tc>
          <w:tcPr>
            <w:tcW w:w="1146" w:type="pct"/>
            <w:vMerge w:val="restart"/>
            <w:tcBorders>
              <w:top w:val="single" w:sz="8" w:space="0" w:color="000000"/>
              <w:left w:val="nil"/>
              <w:bottom w:val="single" w:sz="4" w:space="0" w:color="000000"/>
              <w:right w:val="nil"/>
            </w:tcBorders>
            <w:vAlign w:val="center"/>
          </w:tcPr>
          <w:p w:rsidR="00674B79" w:rsidRPr="00CC3D6B" w:rsidRDefault="00674B79" w:rsidP="00E336E6">
            <w:pPr>
              <w:autoSpaceDN w:val="0"/>
              <w:jc w:val="center"/>
              <w:textAlignment w:val="center"/>
              <w:rPr>
                <w:rFonts w:ascii="宋体" w:hAnsi="宋体"/>
                <w:color w:val="000000"/>
                <w:szCs w:val="21"/>
              </w:rPr>
            </w:pPr>
            <w:r w:rsidRPr="00CC3D6B">
              <w:rPr>
                <w:rFonts w:ascii="宋体" w:hAnsi="宋体"/>
                <w:color w:val="000000"/>
                <w:szCs w:val="21"/>
              </w:rPr>
              <w:t>当年新增不良</w:t>
            </w:r>
          </w:p>
        </w:tc>
        <w:tc>
          <w:tcPr>
            <w:tcW w:w="2500" w:type="pct"/>
            <w:gridSpan w:val="2"/>
            <w:tcBorders>
              <w:top w:val="single" w:sz="8" w:space="0" w:color="000000"/>
              <w:left w:val="nil"/>
              <w:bottom w:val="single" w:sz="4" w:space="0" w:color="000000"/>
              <w:right w:val="nil"/>
            </w:tcBorders>
            <w:vAlign w:val="center"/>
          </w:tcPr>
          <w:p w:rsidR="00674B79" w:rsidRPr="00CC3D6B" w:rsidRDefault="00674B79" w:rsidP="00E336E6">
            <w:pPr>
              <w:autoSpaceDN w:val="0"/>
              <w:jc w:val="center"/>
              <w:textAlignment w:val="center"/>
              <w:rPr>
                <w:rFonts w:ascii="宋体" w:hAnsi="宋体"/>
                <w:color w:val="000000"/>
                <w:szCs w:val="21"/>
              </w:rPr>
            </w:pPr>
            <w:r w:rsidRPr="00CC3D6B">
              <w:rPr>
                <w:rFonts w:ascii="宋体" w:hAnsi="宋体"/>
                <w:color w:val="000000"/>
                <w:szCs w:val="21"/>
              </w:rPr>
              <w:t>其中</w:t>
            </w:r>
          </w:p>
        </w:tc>
        <w:tc>
          <w:tcPr>
            <w:tcW w:w="1354" w:type="pct"/>
            <w:vMerge w:val="restart"/>
            <w:tcBorders>
              <w:top w:val="single" w:sz="8" w:space="0" w:color="000000"/>
              <w:left w:val="nil"/>
              <w:bottom w:val="single" w:sz="4" w:space="0" w:color="000000"/>
              <w:right w:val="nil"/>
            </w:tcBorders>
            <w:vAlign w:val="center"/>
          </w:tcPr>
          <w:p w:rsidR="00674B79" w:rsidRPr="00CC3D6B" w:rsidRDefault="00674B79" w:rsidP="00E336E6">
            <w:pPr>
              <w:autoSpaceDN w:val="0"/>
              <w:jc w:val="center"/>
              <w:textAlignment w:val="center"/>
              <w:rPr>
                <w:rFonts w:ascii="宋体" w:hAnsi="宋体"/>
                <w:color w:val="000000"/>
                <w:szCs w:val="21"/>
              </w:rPr>
            </w:pPr>
            <w:r w:rsidRPr="00CC3D6B">
              <w:rPr>
                <w:rFonts w:ascii="宋体" w:hAnsi="宋体"/>
                <w:color w:val="000000"/>
                <w:szCs w:val="21"/>
              </w:rPr>
              <w:t>收回往年不良（不含表外）</w:t>
            </w:r>
          </w:p>
        </w:tc>
      </w:tr>
      <w:tr w:rsidR="00674B79" w:rsidRPr="002D03E1" w:rsidTr="00E336E6">
        <w:trPr>
          <w:trHeight w:val="285"/>
        </w:trPr>
        <w:tc>
          <w:tcPr>
            <w:tcW w:w="1146" w:type="pct"/>
            <w:vMerge/>
            <w:tcBorders>
              <w:top w:val="single" w:sz="8" w:space="0" w:color="000000"/>
              <w:left w:val="nil"/>
              <w:bottom w:val="single" w:sz="4" w:space="0" w:color="000000"/>
              <w:right w:val="nil"/>
            </w:tcBorders>
            <w:vAlign w:val="center"/>
          </w:tcPr>
          <w:p w:rsidR="00674B79" w:rsidRPr="002D03E1" w:rsidRDefault="00674B79" w:rsidP="00E336E6">
            <w:pPr>
              <w:jc w:val="center"/>
              <w:rPr>
                <w:rFonts w:ascii="黑体" w:eastAsia="黑体" w:hAnsi="黑体"/>
                <w:szCs w:val="21"/>
              </w:rPr>
            </w:pPr>
          </w:p>
        </w:tc>
        <w:tc>
          <w:tcPr>
            <w:tcW w:w="1146" w:type="pct"/>
            <w:tcBorders>
              <w:top w:val="single" w:sz="4" w:space="0" w:color="000000"/>
              <w:left w:val="nil"/>
              <w:bottom w:val="single" w:sz="4" w:space="0" w:color="000000"/>
              <w:right w:val="nil"/>
            </w:tcBorders>
            <w:vAlign w:val="center"/>
          </w:tcPr>
          <w:p w:rsidR="00674B79" w:rsidRPr="00F2345E" w:rsidRDefault="00674B79" w:rsidP="00E336E6">
            <w:pPr>
              <w:autoSpaceDN w:val="0"/>
              <w:jc w:val="center"/>
              <w:textAlignment w:val="center"/>
              <w:rPr>
                <w:rFonts w:ascii="宋体" w:hAnsi="宋体"/>
                <w:color w:val="000000"/>
                <w:szCs w:val="21"/>
              </w:rPr>
            </w:pPr>
            <w:r w:rsidRPr="00F2345E">
              <w:rPr>
                <w:rFonts w:ascii="宋体" w:hAnsi="宋体"/>
                <w:color w:val="000000"/>
                <w:szCs w:val="21"/>
              </w:rPr>
              <w:t>农户</w:t>
            </w:r>
          </w:p>
        </w:tc>
        <w:tc>
          <w:tcPr>
            <w:tcW w:w="1354" w:type="pct"/>
            <w:tcBorders>
              <w:top w:val="single" w:sz="4" w:space="0" w:color="000000"/>
              <w:left w:val="nil"/>
              <w:bottom w:val="single" w:sz="4" w:space="0" w:color="000000"/>
              <w:right w:val="nil"/>
            </w:tcBorders>
            <w:vAlign w:val="center"/>
          </w:tcPr>
          <w:p w:rsidR="00674B79" w:rsidRPr="00F2345E" w:rsidRDefault="00674B79" w:rsidP="00E336E6">
            <w:pPr>
              <w:autoSpaceDN w:val="0"/>
              <w:jc w:val="center"/>
              <w:textAlignment w:val="center"/>
              <w:rPr>
                <w:rFonts w:ascii="宋体" w:hAnsi="宋体"/>
                <w:color w:val="000000"/>
                <w:szCs w:val="21"/>
              </w:rPr>
            </w:pPr>
            <w:r w:rsidRPr="00F2345E">
              <w:rPr>
                <w:rFonts w:ascii="宋体" w:hAnsi="宋体"/>
                <w:color w:val="000000"/>
                <w:szCs w:val="21"/>
              </w:rPr>
              <w:t>工业</w:t>
            </w:r>
          </w:p>
        </w:tc>
        <w:tc>
          <w:tcPr>
            <w:tcW w:w="1354" w:type="pct"/>
            <w:vMerge/>
            <w:tcBorders>
              <w:top w:val="single" w:sz="8" w:space="0" w:color="000000"/>
              <w:left w:val="nil"/>
              <w:bottom w:val="single" w:sz="4" w:space="0" w:color="000000"/>
              <w:right w:val="nil"/>
            </w:tcBorders>
            <w:vAlign w:val="center"/>
          </w:tcPr>
          <w:p w:rsidR="00674B79" w:rsidRPr="002D03E1" w:rsidRDefault="00674B79" w:rsidP="00E336E6">
            <w:pPr>
              <w:autoSpaceDN w:val="0"/>
              <w:jc w:val="center"/>
              <w:rPr>
                <w:rFonts w:ascii="黑体" w:eastAsia="黑体" w:hAnsi="黑体"/>
                <w:szCs w:val="21"/>
              </w:rPr>
            </w:pPr>
          </w:p>
        </w:tc>
      </w:tr>
      <w:tr w:rsidR="00674B79" w:rsidRPr="002D03E1" w:rsidTr="00E336E6">
        <w:trPr>
          <w:trHeight w:val="285"/>
        </w:trPr>
        <w:tc>
          <w:tcPr>
            <w:tcW w:w="1146" w:type="pct"/>
            <w:tcBorders>
              <w:top w:val="single" w:sz="4" w:space="0" w:color="000000"/>
              <w:left w:val="nil"/>
              <w:bottom w:val="single" w:sz="4" w:space="0" w:color="000000"/>
              <w:right w:val="nil"/>
            </w:tcBorders>
            <w:vAlign w:val="center"/>
          </w:tcPr>
          <w:p w:rsidR="00674B79" w:rsidRPr="00CC3D6B" w:rsidRDefault="00674B79" w:rsidP="00E336E6">
            <w:pPr>
              <w:autoSpaceDN w:val="0"/>
              <w:jc w:val="center"/>
              <w:textAlignment w:val="center"/>
              <w:rPr>
                <w:rFonts w:eastAsia="黑体"/>
                <w:color w:val="000000"/>
                <w:szCs w:val="21"/>
              </w:rPr>
            </w:pPr>
            <w:r w:rsidRPr="00CC3D6B">
              <w:rPr>
                <w:rFonts w:eastAsia="黑体"/>
                <w:color w:val="000000"/>
                <w:szCs w:val="21"/>
              </w:rPr>
              <w:t>22889601.82</w:t>
            </w:r>
          </w:p>
        </w:tc>
        <w:tc>
          <w:tcPr>
            <w:tcW w:w="1146" w:type="pct"/>
            <w:tcBorders>
              <w:top w:val="single" w:sz="4" w:space="0" w:color="000000"/>
              <w:left w:val="nil"/>
              <w:bottom w:val="single" w:sz="4" w:space="0" w:color="000000"/>
              <w:right w:val="nil"/>
            </w:tcBorders>
            <w:vAlign w:val="center"/>
          </w:tcPr>
          <w:p w:rsidR="00674B79" w:rsidRPr="00CC3D6B" w:rsidRDefault="00674B79" w:rsidP="00E336E6">
            <w:pPr>
              <w:autoSpaceDN w:val="0"/>
              <w:jc w:val="center"/>
              <w:textAlignment w:val="center"/>
              <w:rPr>
                <w:rFonts w:eastAsia="黑体"/>
                <w:color w:val="000000"/>
                <w:szCs w:val="21"/>
              </w:rPr>
            </w:pPr>
            <w:r w:rsidRPr="00CC3D6B">
              <w:rPr>
                <w:rFonts w:eastAsia="黑体"/>
                <w:color w:val="000000"/>
                <w:szCs w:val="21"/>
              </w:rPr>
              <w:t>20426860.59</w:t>
            </w:r>
          </w:p>
        </w:tc>
        <w:tc>
          <w:tcPr>
            <w:tcW w:w="1354" w:type="pct"/>
            <w:tcBorders>
              <w:top w:val="single" w:sz="4" w:space="0" w:color="000000"/>
              <w:left w:val="nil"/>
              <w:bottom w:val="single" w:sz="4" w:space="0" w:color="000000"/>
              <w:right w:val="nil"/>
            </w:tcBorders>
            <w:vAlign w:val="center"/>
          </w:tcPr>
          <w:p w:rsidR="00674B79" w:rsidRPr="00CC3D6B" w:rsidRDefault="00674B79" w:rsidP="00E336E6">
            <w:pPr>
              <w:autoSpaceDN w:val="0"/>
              <w:jc w:val="center"/>
              <w:textAlignment w:val="center"/>
              <w:rPr>
                <w:rFonts w:eastAsia="黑体"/>
                <w:color w:val="000000"/>
                <w:szCs w:val="21"/>
              </w:rPr>
            </w:pPr>
            <w:r w:rsidRPr="00CC3D6B">
              <w:rPr>
                <w:rFonts w:eastAsia="黑体"/>
                <w:color w:val="000000"/>
                <w:szCs w:val="21"/>
              </w:rPr>
              <w:t>2462741.23</w:t>
            </w:r>
          </w:p>
        </w:tc>
        <w:tc>
          <w:tcPr>
            <w:tcW w:w="1354" w:type="pct"/>
            <w:tcBorders>
              <w:top w:val="single" w:sz="4" w:space="0" w:color="000000"/>
              <w:left w:val="nil"/>
              <w:bottom w:val="single" w:sz="4" w:space="0" w:color="000000"/>
              <w:right w:val="nil"/>
            </w:tcBorders>
            <w:vAlign w:val="center"/>
          </w:tcPr>
          <w:p w:rsidR="00674B79" w:rsidRPr="00CC3D6B" w:rsidRDefault="00674B79" w:rsidP="00E336E6">
            <w:pPr>
              <w:autoSpaceDN w:val="0"/>
              <w:jc w:val="center"/>
              <w:textAlignment w:val="center"/>
              <w:rPr>
                <w:rFonts w:eastAsia="黑体"/>
                <w:color w:val="000000"/>
                <w:szCs w:val="21"/>
              </w:rPr>
            </w:pPr>
            <w:r w:rsidRPr="00CC3D6B">
              <w:rPr>
                <w:rFonts w:eastAsia="黑体"/>
                <w:color w:val="000000"/>
                <w:szCs w:val="21"/>
              </w:rPr>
              <w:t>7379238.47</w:t>
            </w:r>
          </w:p>
        </w:tc>
      </w:tr>
    </w:tbl>
    <w:p w:rsidR="00674B79" w:rsidRDefault="00674B79" w:rsidP="002D0FD1">
      <w:pPr>
        <w:pStyle w:val="reader-word-layer"/>
        <w:shd w:val="clear" w:color="auto" w:fill="FFFFFF"/>
        <w:spacing w:before="0" w:beforeAutospacing="0" w:after="0" w:afterAutospacing="0" w:line="288" w:lineRule="auto"/>
        <w:ind w:firstLineChars="200" w:firstLine="480"/>
      </w:pPr>
      <w:r>
        <w:rPr>
          <w:rFonts w:hint="eastAsia"/>
        </w:rPr>
        <w:t>（3</w:t>
      </w:r>
      <w:r>
        <w:t>）</w:t>
      </w:r>
      <w:r>
        <w:rPr>
          <w:rFonts w:hint="eastAsia"/>
        </w:rPr>
        <w:t>次级贷款中前十家所占比重较大：</w:t>
      </w:r>
      <w:r w:rsidRPr="00674B79">
        <w:rPr>
          <w:rFonts w:hint="eastAsia"/>
        </w:rPr>
        <w:t>2012年最大十家次级类贷款总额为2391.30万元，占当年次级贷款年末余额7,437.27万元的32.15%。其中，次级贷款最大一家的金额为580</w:t>
      </w:r>
      <w:r>
        <w:rPr>
          <w:rFonts w:hint="eastAsia"/>
        </w:rPr>
        <w:t>万元。</w:t>
      </w:r>
    </w:p>
    <w:p w:rsidR="00674B79" w:rsidRDefault="00674B79" w:rsidP="002D0FD1">
      <w:pPr>
        <w:pStyle w:val="reader-word-layer"/>
        <w:shd w:val="clear" w:color="auto" w:fill="FFFFFF"/>
        <w:spacing w:before="0" w:beforeAutospacing="0" w:after="0" w:afterAutospacing="0" w:line="288" w:lineRule="auto"/>
        <w:ind w:firstLineChars="200" w:firstLine="480"/>
        <w:rPr>
          <w:color w:val="000000"/>
        </w:rPr>
      </w:pPr>
      <w:r>
        <w:rPr>
          <w:rFonts w:hint="eastAsia"/>
        </w:rPr>
        <w:t>（4</w:t>
      </w:r>
      <w:r>
        <w:t>）</w:t>
      </w:r>
      <w:r>
        <w:rPr>
          <w:rFonts w:hint="eastAsia"/>
        </w:rPr>
        <w:t>可疑类贷款中前十家所占比重较大，逾期情况较为严重：2012年最大十家可疑类贷款总额为1081.05万元，占当年可疑类贷款年末余额3,905.57万元的</w:t>
      </w:r>
      <w:r>
        <w:rPr>
          <w:rFonts w:hint="eastAsia"/>
          <w:color w:val="000000"/>
        </w:rPr>
        <w:t>27.68%。</w:t>
      </w:r>
    </w:p>
    <w:p w:rsidR="00674B79" w:rsidRDefault="00674B79" w:rsidP="002D0FD1">
      <w:pPr>
        <w:pStyle w:val="reader-word-layer"/>
        <w:shd w:val="clear" w:color="auto" w:fill="FFFFFF"/>
        <w:spacing w:before="0" w:beforeAutospacing="0" w:after="0" w:afterAutospacing="0" w:line="288" w:lineRule="auto"/>
        <w:ind w:firstLineChars="200" w:firstLine="480"/>
      </w:pPr>
      <w:r>
        <w:rPr>
          <w:rFonts w:hint="eastAsia"/>
        </w:rPr>
        <w:t>（5</w:t>
      </w:r>
      <w:r>
        <w:t>）</w:t>
      </w:r>
      <w:r>
        <w:rPr>
          <w:rFonts w:hint="eastAsia"/>
        </w:rPr>
        <w:t>损失类贷款客户较少，余额相对较低：2012年共有四家损失类贷款，其总额为93.87万元，即为当年损失类贷款的年末余额。最大一家损失类贷款为47万元，占总额的近一半。</w:t>
      </w:r>
    </w:p>
    <w:p w:rsidR="00674B79" w:rsidRDefault="00674B79" w:rsidP="002D0FD1">
      <w:pPr>
        <w:pStyle w:val="reader-word-layer"/>
        <w:shd w:val="clear" w:color="auto" w:fill="FFFFFF"/>
        <w:spacing w:before="0" w:beforeAutospacing="0" w:after="0" w:afterAutospacing="0" w:line="288" w:lineRule="auto"/>
        <w:ind w:firstLineChars="200" w:firstLine="480"/>
      </w:pPr>
      <w:r>
        <w:rPr>
          <w:rFonts w:hint="eastAsia"/>
        </w:rPr>
        <w:lastRenderedPageBreak/>
        <w:t>（6</w:t>
      </w:r>
      <w:r>
        <w:t>）</w:t>
      </w:r>
      <w:r>
        <w:rPr>
          <w:rFonts w:hint="eastAsia"/>
        </w:rPr>
        <w:t>关注类贷款大幅增加，存在风险隐患：</w:t>
      </w:r>
      <w:r w:rsidRPr="00E15723">
        <w:rPr>
          <w:rFonts w:hint="eastAsia"/>
        </w:rPr>
        <w:t>截止2012年12月末，关注类贷款余额为50636.02万元,比年初上升24002.16万元，其增长率高达90.12%。关注类贷款占总贷款的比例也由2011年的4.11%增加到2012年末的6.54%。</w:t>
      </w:r>
    </w:p>
    <w:p w:rsidR="00674B79" w:rsidRPr="00674B79" w:rsidRDefault="00674B79" w:rsidP="00674B79">
      <w:pPr>
        <w:pStyle w:val="reader-word-layer"/>
        <w:shd w:val="clear" w:color="auto" w:fill="FFFFFF"/>
        <w:spacing w:before="0" w:beforeAutospacing="0" w:after="0" w:afterAutospacing="0" w:line="288" w:lineRule="auto"/>
        <w:rPr>
          <w:b/>
        </w:rPr>
      </w:pPr>
      <w:r w:rsidRPr="00674B79">
        <w:rPr>
          <w:rFonts w:hint="eastAsia"/>
          <w:b/>
        </w:rPr>
        <w:t>（三</w:t>
      </w:r>
      <w:r w:rsidRPr="00674B79">
        <w:rPr>
          <w:b/>
        </w:rPr>
        <w:t>）</w:t>
      </w:r>
      <w:r>
        <w:rPr>
          <w:rFonts w:hint="eastAsia"/>
          <w:b/>
        </w:rPr>
        <w:t>原因</w:t>
      </w:r>
      <w:r>
        <w:rPr>
          <w:b/>
        </w:rPr>
        <w:t>分析</w:t>
      </w:r>
    </w:p>
    <w:p w:rsidR="00674B79" w:rsidRDefault="00674B79" w:rsidP="002D0FD1">
      <w:pPr>
        <w:pStyle w:val="reader-word-layer"/>
        <w:shd w:val="clear" w:color="auto" w:fill="FFFFFF"/>
        <w:spacing w:before="0" w:beforeAutospacing="0" w:after="0" w:afterAutospacing="0" w:line="288" w:lineRule="auto"/>
        <w:ind w:firstLineChars="200" w:firstLine="480"/>
        <w:rPr>
          <w:rFonts w:ascii="Times New Roman"/>
        </w:rPr>
      </w:pPr>
      <w:r>
        <w:rPr>
          <w:rFonts w:ascii="Times New Roman" w:hint="eastAsia"/>
        </w:rPr>
        <w:t>1.</w:t>
      </w:r>
      <w:r>
        <w:rPr>
          <w:rFonts w:hint="eastAsia"/>
        </w:rPr>
        <w:t>泰兴农商行信贷人员素质偏低且参差不齐</w:t>
      </w:r>
    </w:p>
    <w:p w:rsidR="00674B79" w:rsidRPr="00CC3D6B" w:rsidRDefault="00674B79" w:rsidP="00674B79">
      <w:pPr>
        <w:jc w:val="right"/>
        <w:rPr>
          <w:rFonts w:ascii="黑体" w:eastAsia="黑体" w:hAnsi="黑体"/>
          <w:szCs w:val="21"/>
        </w:rPr>
      </w:pPr>
      <w:r w:rsidRPr="00CC3D6B">
        <w:rPr>
          <w:rFonts w:ascii="黑体" w:eastAsia="黑体" w:hAnsi="黑体" w:hint="eastAsia"/>
          <w:szCs w:val="21"/>
        </w:rPr>
        <w:t>表</w:t>
      </w:r>
      <w:r w:rsidR="00C27CD3">
        <w:rPr>
          <w:rFonts w:ascii="黑体" w:eastAsia="黑体" w:hAnsi="黑体"/>
          <w:szCs w:val="21"/>
        </w:rPr>
        <w:t>9</w:t>
      </w:r>
      <w:r w:rsidRPr="00CC3D6B">
        <w:rPr>
          <w:rFonts w:ascii="黑体" w:eastAsia="黑体" w:hAnsi="黑体" w:hint="eastAsia"/>
          <w:szCs w:val="21"/>
        </w:rPr>
        <w:t xml:space="preserve">  泰兴农商行信贷人员文化程度             单位：人、%</w:t>
      </w:r>
    </w:p>
    <w:tbl>
      <w:tblPr>
        <w:tblW w:w="5000" w:type="pct"/>
        <w:tblBorders>
          <w:top w:val="single" w:sz="8" w:space="0" w:color="000000"/>
          <w:bottom w:val="single" w:sz="8" w:space="0" w:color="000000"/>
        </w:tblBorders>
        <w:tblLook w:val="0660"/>
      </w:tblPr>
      <w:tblGrid>
        <w:gridCol w:w="1421"/>
        <w:gridCol w:w="1421"/>
        <w:gridCol w:w="1420"/>
        <w:gridCol w:w="1420"/>
        <w:gridCol w:w="1420"/>
        <w:gridCol w:w="1420"/>
      </w:tblGrid>
      <w:tr w:rsidR="00674B79" w:rsidRPr="00571CB0" w:rsidTr="00E336E6">
        <w:tc>
          <w:tcPr>
            <w:tcW w:w="834" w:type="pct"/>
            <w:tcBorders>
              <w:top w:val="single" w:sz="8" w:space="0" w:color="000000"/>
              <w:left w:val="nil"/>
              <w:bottom w:val="single" w:sz="8" w:space="0" w:color="000000"/>
              <w:right w:val="nil"/>
            </w:tcBorders>
            <w:noWrap/>
          </w:tcPr>
          <w:p w:rsidR="00674B79" w:rsidRPr="00CC3D6B" w:rsidRDefault="00674B79" w:rsidP="00E336E6">
            <w:pPr>
              <w:jc w:val="center"/>
              <w:rPr>
                <w:rFonts w:ascii="宋体" w:hAnsi="宋体"/>
                <w:bCs/>
                <w:color w:val="000000"/>
                <w:szCs w:val="21"/>
              </w:rPr>
            </w:pPr>
            <w:r w:rsidRPr="00CC3D6B">
              <w:rPr>
                <w:rFonts w:ascii="宋体" w:hAnsi="宋体" w:hint="eastAsia"/>
                <w:bCs/>
                <w:color w:val="000000"/>
                <w:szCs w:val="21"/>
                <w:lang w:val="zh-CN"/>
              </w:rPr>
              <w:t>文化程度</w:t>
            </w:r>
          </w:p>
        </w:tc>
        <w:tc>
          <w:tcPr>
            <w:tcW w:w="834" w:type="pct"/>
            <w:tcBorders>
              <w:top w:val="single" w:sz="8" w:space="0" w:color="000000"/>
              <w:left w:val="nil"/>
              <w:bottom w:val="single" w:sz="8" w:space="0" w:color="000000"/>
              <w:right w:val="nil"/>
            </w:tcBorders>
          </w:tcPr>
          <w:p w:rsidR="00674B79" w:rsidRPr="00CC3D6B" w:rsidRDefault="00674B79" w:rsidP="00E336E6">
            <w:pPr>
              <w:jc w:val="center"/>
              <w:rPr>
                <w:rFonts w:ascii="宋体" w:hAnsi="宋体"/>
                <w:bCs/>
                <w:color w:val="000000"/>
                <w:szCs w:val="21"/>
              </w:rPr>
            </w:pPr>
            <w:r w:rsidRPr="00CC3D6B">
              <w:rPr>
                <w:rFonts w:ascii="宋体" w:hAnsi="宋体" w:hint="eastAsia"/>
                <w:bCs/>
                <w:color w:val="000000"/>
                <w:szCs w:val="21"/>
                <w:lang w:val="zh-CN"/>
              </w:rPr>
              <w:t>原始学历</w:t>
            </w:r>
          </w:p>
        </w:tc>
        <w:tc>
          <w:tcPr>
            <w:tcW w:w="833" w:type="pct"/>
            <w:tcBorders>
              <w:top w:val="single" w:sz="8" w:space="0" w:color="000000"/>
              <w:left w:val="nil"/>
              <w:bottom w:val="single" w:sz="8" w:space="0" w:color="000000"/>
              <w:right w:val="nil"/>
            </w:tcBorders>
          </w:tcPr>
          <w:p w:rsidR="00674B79" w:rsidRPr="00CC3D6B" w:rsidRDefault="00674B79" w:rsidP="00E336E6">
            <w:pPr>
              <w:jc w:val="center"/>
              <w:rPr>
                <w:rFonts w:ascii="宋体" w:hAnsi="宋体"/>
                <w:bCs/>
                <w:color w:val="000000"/>
                <w:szCs w:val="21"/>
                <w:lang w:val="zh-CN"/>
              </w:rPr>
            </w:pPr>
            <w:r w:rsidRPr="00CC3D6B">
              <w:rPr>
                <w:rFonts w:ascii="宋体" w:hAnsi="宋体" w:hint="eastAsia"/>
                <w:bCs/>
                <w:color w:val="000000"/>
                <w:szCs w:val="21"/>
                <w:lang w:val="zh-CN"/>
              </w:rPr>
              <w:t>比率</w:t>
            </w:r>
          </w:p>
        </w:tc>
        <w:tc>
          <w:tcPr>
            <w:tcW w:w="833" w:type="pct"/>
            <w:tcBorders>
              <w:top w:val="single" w:sz="8" w:space="0" w:color="000000"/>
              <w:left w:val="nil"/>
              <w:bottom w:val="single" w:sz="8" w:space="0" w:color="000000"/>
              <w:right w:val="nil"/>
            </w:tcBorders>
          </w:tcPr>
          <w:p w:rsidR="00674B79" w:rsidRPr="00CC3D6B" w:rsidRDefault="00674B79" w:rsidP="00E336E6">
            <w:pPr>
              <w:jc w:val="center"/>
              <w:rPr>
                <w:rFonts w:ascii="宋体" w:hAnsi="宋体"/>
                <w:bCs/>
                <w:color w:val="000000"/>
                <w:szCs w:val="21"/>
              </w:rPr>
            </w:pPr>
            <w:r w:rsidRPr="00CC3D6B">
              <w:rPr>
                <w:rFonts w:ascii="宋体" w:hAnsi="宋体" w:hint="eastAsia"/>
                <w:bCs/>
                <w:color w:val="000000"/>
                <w:szCs w:val="21"/>
                <w:lang w:val="zh-CN"/>
              </w:rPr>
              <w:t>现在学历</w:t>
            </w:r>
          </w:p>
        </w:tc>
        <w:tc>
          <w:tcPr>
            <w:tcW w:w="833" w:type="pct"/>
            <w:tcBorders>
              <w:top w:val="single" w:sz="8" w:space="0" w:color="000000"/>
              <w:left w:val="nil"/>
              <w:bottom w:val="single" w:sz="8" w:space="0" w:color="000000"/>
              <w:right w:val="nil"/>
            </w:tcBorders>
          </w:tcPr>
          <w:p w:rsidR="00674B79" w:rsidRPr="00CC3D6B" w:rsidRDefault="00674B79" w:rsidP="00E336E6">
            <w:pPr>
              <w:jc w:val="center"/>
              <w:rPr>
                <w:rFonts w:ascii="宋体" w:hAnsi="宋体"/>
                <w:bCs/>
                <w:color w:val="000000"/>
                <w:szCs w:val="21"/>
                <w:lang w:val="zh-CN"/>
              </w:rPr>
            </w:pPr>
            <w:r w:rsidRPr="00CC3D6B">
              <w:rPr>
                <w:rFonts w:ascii="宋体" w:hAnsi="宋体" w:hint="eastAsia"/>
                <w:bCs/>
                <w:color w:val="000000"/>
                <w:szCs w:val="21"/>
                <w:lang w:val="zh-CN"/>
              </w:rPr>
              <w:t>比率</w:t>
            </w:r>
          </w:p>
        </w:tc>
        <w:tc>
          <w:tcPr>
            <w:tcW w:w="833" w:type="pct"/>
            <w:tcBorders>
              <w:top w:val="single" w:sz="8" w:space="0" w:color="000000"/>
              <w:left w:val="nil"/>
              <w:bottom w:val="single" w:sz="8" w:space="0" w:color="000000"/>
              <w:right w:val="nil"/>
            </w:tcBorders>
          </w:tcPr>
          <w:p w:rsidR="00674B79" w:rsidRPr="00CC3D6B" w:rsidRDefault="00674B79" w:rsidP="00E336E6">
            <w:pPr>
              <w:jc w:val="center"/>
              <w:rPr>
                <w:rFonts w:ascii="宋体" w:hAnsi="宋体"/>
                <w:bCs/>
                <w:color w:val="000000"/>
                <w:szCs w:val="21"/>
              </w:rPr>
            </w:pPr>
            <w:r w:rsidRPr="00CC3D6B">
              <w:rPr>
                <w:rFonts w:ascii="宋体" w:hAnsi="宋体"/>
                <w:bCs/>
                <w:color w:val="000000"/>
                <w:szCs w:val="21"/>
                <w:lang w:val="zh-CN"/>
              </w:rPr>
              <w:t>变动</w:t>
            </w:r>
          </w:p>
        </w:tc>
      </w:tr>
      <w:tr w:rsidR="00674B79" w:rsidRPr="00571CB0" w:rsidTr="00E336E6">
        <w:trPr>
          <w:trHeight w:val="330"/>
        </w:trPr>
        <w:tc>
          <w:tcPr>
            <w:tcW w:w="834" w:type="pct"/>
            <w:noWrap/>
          </w:tcPr>
          <w:p w:rsidR="00674B79" w:rsidRPr="00CC3D6B" w:rsidRDefault="00674B79" w:rsidP="00E336E6">
            <w:pPr>
              <w:widowControl/>
              <w:jc w:val="center"/>
              <w:rPr>
                <w:rFonts w:ascii="宋体" w:hAnsi="宋体" w:cs="宋体"/>
                <w:bCs/>
                <w:color w:val="000000"/>
                <w:kern w:val="0"/>
                <w:szCs w:val="21"/>
              </w:rPr>
            </w:pPr>
            <w:r w:rsidRPr="00CC3D6B">
              <w:rPr>
                <w:rFonts w:ascii="宋体" w:hAnsi="宋体" w:cs="宋体" w:hint="eastAsia"/>
                <w:bCs/>
                <w:color w:val="000000"/>
                <w:kern w:val="0"/>
                <w:szCs w:val="21"/>
              </w:rPr>
              <w:t>本科</w:t>
            </w:r>
          </w:p>
        </w:tc>
        <w:tc>
          <w:tcPr>
            <w:tcW w:w="834"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11</w:t>
            </w:r>
          </w:p>
        </w:tc>
        <w:tc>
          <w:tcPr>
            <w:tcW w:w="833" w:type="pct"/>
          </w:tcPr>
          <w:p w:rsidR="00674B79" w:rsidRPr="00CC3D6B" w:rsidRDefault="00674B79" w:rsidP="00E336E6">
            <w:pPr>
              <w:jc w:val="center"/>
              <w:rPr>
                <w:rFonts w:eastAsia="黑体"/>
                <w:color w:val="000000"/>
                <w:szCs w:val="21"/>
              </w:rPr>
            </w:pPr>
            <w:r w:rsidRPr="00CC3D6B">
              <w:rPr>
                <w:rFonts w:eastAsia="黑体"/>
                <w:color w:val="000000"/>
                <w:szCs w:val="21"/>
              </w:rPr>
              <w:t>10.58%</w:t>
            </w:r>
          </w:p>
        </w:tc>
        <w:tc>
          <w:tcPr>
            <w:tcW w:w="833"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26</w:t>
            </w:r>
          </w:p>
        </w:tc>
        <w:tc>
          <w:tcPr>
            <w:tcW w:w="833" w:type="pct"/>
            <w:vAlign w:val="center"/>
          </w:tcPr>
          <w:p w:rsidR="00674B79" w:rsidRPr="00CC3D6B" w:rsidRDefault="00674B79" w:rsidP="00E336E6">
            <w:pPr>
              <w:jc w:val="center"/>
              <w:rPr>
                <w:color w:val="000000"/>
                <w:szCs w:val="21"/>
              </w:rPr>
            </w:pPr>
            <w:r w:rsidRPr="00CC3D6B">
              <w:rPr>
                <w:color w:val="000000"/>
                <w:szCs w:val="21"/>
              </w:rPr>
              <w:t>25.00%</w:t>
            </w:r>
          </w:p>
        </w:tc>
        <w:tc>
          <w:tcPr>
            <w:tcW w:w="833" w:type="pct"/>
            <w:noWrap/>
            <w:vAlign w:val="center"/>
          </w:tcPr>
          <w:p w:rsidR="00674B79" w:rsidRPr="00CC3D6B" w:rsidRDefault="00674B79" w:rsidP="00E336E6">
            <w:pPr>
              <w:jc w:val="center"/>
              <w:rPr>
                <w:color w:val="000000"/>
                <w:szCs w:val="21"/>
              </w:rPr>
            </w:pPr>
            <w:r w:rsidRPr="00CC3D6B">
              <w:rPr>
                <w:color w:val="000000"/>
                <w:szCs w:val="21"/>
              </w:rPr>
              <w:t>14.42</w:t>
            </w:r>
          </w:p>
        </w:tc>
      </w:tr>
      <w:tr w:rsidR="00674B79" w:rsidRPr="00571CB0" w:rsidTr="00E336E6">
        <w:trPr>
          <w:trHeight w:val="330"/>
        </w:trPr>
        <w:tc>
          <w:tcPr>
            <w:tcW w:w="834" w:type="pct"/>
            <w:noWrap/>
          </w:tcPr>
          <w:p w:rsidR="00674B79" w:rsidRPr="00CC3D6B" w:rsidRDefault="00674B79" w:rsidP="00E336E6">
            <w:pPr>
              <w:widowControl/>
              <w:jc w:val="center"/>
              <w:rPr>
                <w:rFonts w:ascii="宋体" w:hAnsi="宋体" w:cs="宋体"/>
                <w:bCs/>
                <w:color w:val="000000"/>
                <w:kern w:val="0"/>
                <w:szCs w:val="21"/>
              </w:rPr>
            </w:pPr>
            <w:r w:rsidRPr="00CC3D6B">
              <w:rPr>
                <w:rFonts w:ascii="宋体" w:hAnsi="宋体" w:cs="宋体" w:hint="eastAsia"/>
                <w:bCs/>
                <w:color w:val="000000"/>
                <w:kern w:val="0"/>
                <w:szCs w:val="21"/>
              </w:rPr>
              <w:t>大专</w:t>
            </w:r>
          </w:p>
        </w:tc>
        <w:tc>
          <w:tcPr>
            <w:tcW w:w="834"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14</w:t>
            </w:r>
          </w:p>
        </w:tc>
        <w:tc>
          <w:tcPr>
            <w:tcW w:w="833" w:type="pct"/>
          </w:tcPr>
          <w:p w:rsidR="00674B79" w:rsidRPr="00CC3D6B" w:rsidRDefault="00674B79" w:rsidP="00E336E6">
            <w:pPr>
              <w:jc w:val="center"/>
              <w:rPr>
                <w:rFonts w:eastAsia="黑体"/>
                <w:color w:val="000000"/>
                <w:szCs w:val="21"/>
              </w:rPr>
            </w:pPr>
            <w:r w:rsidRPr="00CC3D6B">
              <w:rPr>
                <w:rFonts w:eastAsia="黑体"/>
                <w:color w:val="000000"/>
                <w:szCs w:val="21"/>
              </w:rPr>
              <w:t>13.46%</w:t>
            </w:r>
          </w:p>
        </w:tc>
        <w:tc>
          <w:tcPr>
            <w:tcW w:w="833"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25</w:t>
            </w:r>
          </w:p>
        </w:tc>
        <w:tc>
          <w:tcPr>
            <w:tcW w:w="833" w:type="pct"/>
            <w:vAlign w:val="center"/>
          </w:tcPr>
          <w:p w:rsidR="00674B79" w:rsidRPr="00CC3D6B" w:rsidRDefault="00674B79" w:rsidP="00E336E6">
            <w:pPr>
              <w:jc w:val="center"/>
              <w:rPr>
                <w:color w:val="000000"/>
                <w:szCs w:val="21"/>
              </w:rPr>
            </w:pPr>
            <w:r w:rsidRPr="00CC3D6B">
              <w:rPr>
                <w:color w:val="000000"/>
                <w:szCs w:val="21"/>
              </w:rPr>
              <w:t>24.04%</w:t>
            </w:r>
          </w:p>
        </w:tc>
        <w:tc>
          <w:tcPr>
            <w:tcW w:w="833" w:type="pct"/>
            <w:noWrap/>
            <w:vAlign w:val="center"/>
          </w:tcPr>
          <w:p w:rsidR="00674B79" w:rsidRPr="00CC3D6B" w:rsidRDefault="00674B79" w:rsidP="00E336E6">
            <w:pPr>
              <w:jc w:val="center"/>
              <w:rPr>
                <w:color w:val="000000"/>
                <w:szCs w:val="21"/>
              </w:rPr>
            </w:pPr>
            <w:r w:rsidRPr="00CC3D6B">
              <w:rPr>
                <w:color w:val="000000"/>
                <w:szCs w:val="21"/>
              </w:rPr>
              <w:t>10.58</w:t>
            </w:r>
          </w:p>
        </w:tc>
      </w:tr>
      <w:tr w:rsidR="00674B79" w:rsidRPr="00571CB0" w:rsidTr="00E336E6">
        <w:trPr>
          <w:trHeight w:val="330"/>
        </w:trPr>
        <w:tc>
          <w:tcPr>
            <w:tcW w:w="834" w:type="pct"/>
            <w:noWrap/>
          </w:tcPr>
          <w:p w:rsidR="00674B79" w:rsidRPr="00CC3D6B" w:rsidRDefault="00674B79" w:rsidP="00E336E6">
            <w:pPr>
              <w:widowControl/>
              <w:jc w:val="center"/>
              <w:rPr>
                <w:rFonts w:ascii="宋体" w:hAnsi="宋体" w:cs="宋体"/>
                <w:bCs/>
                <w:color w:val="000000"/>
                <w:kern w:val="0"/>
                <w:szCs w:val="21"/>
              </w:rPr>
            </w:pPr>
            <w:r w:rsidRPr="00CC3D6B">
              <w:rPr>
                <w:rFonts w:ascii="宋体" w:hAnsi="宋体" w:cs="宋体" w:hint="eastAsia"/>
                <w:bCs/>
                <w:color w:val="000000"/>
                <w:kern w:val="0"/>
                <w:szCs w:val="21"/>
              </w:rPr>
              <w:t>高中</w:t>
            </w:r>
          </w:p>
        </w:tc>
        <w:tc>
          <w:tcPr>
            <w:tcW w:w="834"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30</w:t>
            </w:r>
          </w:p>
        </w:tc>
        <w:tc>
          <w:tcPr>
            <w:tcW w:w="833" w:type="pct"/>
          </w:tcPr>
          <w:p w:rsidR="00674B79" w:rsidRPr="00CC3D6B" w:rsidRDefault="00674B79" w:rsidP="00E336E6">
            <w:pPr>
              <w:jc w:val="center"/>
              <w:rPr>
                <w:rFonts w:eastAsia="黑体"/>
                <w:color w:val="000000"/>
                <w:szCs w:val="21"/>
              </w:rPr>
            </w:pPr>
            <w:r w:rsidRPr="00CC3D6B">
              <w:rPr>
                <w:rFonts w:eastAsia="黑体"/>
                <w:color w:val="000000"/>
                <w:szCs w:val="21"/>
              </w:rPr>
              <w:t>28.85%</w:t>
            </w:r>
          </w:p>
        </w:tc>
        <w:tc>
          <w:tcPr>
            <w:tcW w:w="833"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22</w:t>
            </w:r>
          </w:p>
        </w:tc>
        <w:tc>
          <w:tcPr>
            <w:tcW w:w="833" w:type="pct"/>
            <w:vAlign w:val="center"/>
          </w:tcPr>
          <w:p w:rsidR="00674B79" w:rsidRPr="00CC3D6B" w:rsidRDefault="00674B79" w:rsidP="00E336E6">
            <w:pPr>
              <w:jc w:val="center"/>
              <w:rPr>
                <w:color w:val="000000"/>
                <w:szCs w:val="21"/>
              </w:rPr>
            </w:pPr>
            <w:r w:rsidRPr="00CC3D6B">
              <w:rPr>
                <w:color w:val="000000"/>
                <w:szCs w:val="21"/>
              </w:rPr>
              <w:t>21.15%</w:t>
            </w:r>
          </w:p>
        </w:tc>
        <w:tc>
          <w:tcPr>
            <w:tcW w:w="833" w:type="pct"/>
            <w:noWrap/>
            <w:vAlign w:val="center"/>
          </w:tcPr>
          <w:p w:rsidR="00674B79" w:rsidRPr="00CC3D6B" w:rsidRDefault="00674B79" w:rsidP="00E336E6">
            <w:pPr>
              <w:jc w:val="center"/>
              <w:rPr>
                <w:color w:val="000000"/>
                <w:szCs w:val="21"/>
              </w:rPr>
            </w:pPr>
            <w:r w:rsidRPr="00CC3D6B">
              <w:rPr>
                <w:color w:val="000000"/>
                <w:szCs w:val="21"/>
              </w:rPr>
              <w:t>-7.69</w:t>
            </w:r>
          </w:p>
        </w:tc>
      </w:tr>
      <w:tr w:rsidR="00674B79" w:rsidRPr="00571CB0" w:rsidTr="00E336E6">
        <w:trPr>
          <w:trHeight w:val="330"/>
        </w:trPr>
        <w:tc>
          <w:tcPr>
            <w:tcW w:w="834" w:type="pct"/>
            <w:noWrap/>
          </w:tcPr>
          <w:p w:rsidR="00674B79" w:rsidRPr="00CC3D6B" w:rsidRDefault="00674B79" w:rsidP="00E336E6">
            <w:pPr>
              <w:widowControl/>
              <w:jc w:val="center"/>
              <w:rPr>
                <w:rFonts w:ascii="宋体" w:hAnsi="宋体" w:cs="宋体"/>
                <w:bCs/>
                <w:color w:val="000000"/>
                <w:kern w:val="0"/>
                <w:szCs w:val="21"/>
              </w:rPr>
            </w:pPr>
            <w:r w:rsidRPr="00CC3D6B">
              <w:rPr>
                <w:rFonts w:ascii="宋体" w:hAnsi="宋体" w:cs="宋体" w:hint="eastAsia"/>
                <w:bCs/>
                <w:color w:val="000000"/>
                <w:kern w:val="0"/>
                <w:szCs w:val="21"/>
              </w:rPr>
              <w:t>中专</w:t>
            </w:r>
          </w:p>
        </w:tc>
        <w:tc>
          <w:tcPr>
            <w:tcW w:w="834"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17</w:t>
            </w:r>
          </w:p>
        </w:tc>
        <w:tc>
          <w:tcPr>
            <w:tcW w:w="833" w:type="pct"/>
          </w:tcPr>
          <w:p w:rsidR="00674B79" w:rsidRPr="00CC3D6B" w:rsidRDefault="00674B79" w:rsidP="00E336E6">
            <w:pPr>
              <w:jc w:val="center"/>
              <w:rPr>
                <w:rFonts w:eastAsia="黑体"/>
                <w:color w:val="000000"/>
                <w:szCs w:val="21"/>
              </w:rPr>
            </w:pPr>
            <w:r w:rsidRPr="00CC3D6B">
              <w:rPr>
                <w:rFonts w:eastAsia="黑体"/>
                <w:color w:val="000000"/>
                <w:szCs w:val="21"/>
              </w:rPr>
              <w:t>16.35%</w:t>
            </w:r>
          </w:p>
        </w:tc>
        <w:tc>
          <w:tcPr>
            <w:tcW w:w="833"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9</w:t>
            </w:r>
          </w:p>
        </w:tc>
        <w:tc>
          <w:tcPr>
            <w:tcW w:w="833" w:type="pct"/>
            <w:vAlign w:val="center"/>
          </w:tcPr>
          <w:p w:rsidR="00674B79" w:rsidRPr="00CC3D6B" w:rsidRDefault="00674B79" w:rsidP="00E336E6">
            <w:pPr>
              <w:jc w:val="center"/>
              <w:rPr>
                <w:color w:val="000000"/>
                <w:szCs w:val="21"/>
              </w:rPr>
            </w:pPr>
            <w:r w:rsidRPr="00CC3D6B">
              <w:rPr>
                <w:color w:val="000000"/>
                <w:szCs w:val="21"/>
              </w:rPr>
              <w:t>8.65%</w:t>
            </w:r>
          </w:p>
        </w:tc>
        <w:tc>
          <w:tcPr>
            <w:tcW w:w="833" w:type="pct"/>
            <w:noWrap/>
            <w:vAlign w:val="center"/>
          </w:tcPr>
          <w:p w:rsidR="00674B79" w:rsidRPr="00CC3D6B" w:rsidRDefault="00674B79" w:rsidP="00E336E6">
            <w:pPr>
              <w:jc w:val="center"/>
              <w:rPr>
                <w:color w:val="000000"/>
                <w:szCs w:val="21"/>
              </w:rPr>
            </w:pPr>
            <w:r w:rsidRPr="00CC3D6B">
              <w:rPr>
                <w:color w:val="000000"/>
                <w:szCs w:val="21"/>
              </w:rPr>
              <w:t>-7.69</w:t>
            </w:r>
          </w:p>
        </w:tc>
      </w:tr>
      <w:tr w:rsidR="00674B79" w:rsidRPr="00571CB0" w:rsidTr="00E336E6">
        <w:trPr>
          <w:trHeight w:val="330"/>
        </w:trPr>
        <w:tc>
          <w:tcPr>
            <w:tcW w:w="834" w:type="pct"/>
            <w:noWrap/>
          </w:tcPr>
          <w:p w:rsidR="00674B79" w:rsidRPr="00CC3D6B" w:rsidRDefault="00674B79" w:rsidP="00E336E6">
            <w:pPr>
              <w:widowControl/>
              <w:jc w:val="center"/>
              <w:rPr>
                <w:rFonts w:ascii="宋体" w:hAnsi="宋体" w:cs="宋体"/>
                <w:bCs/>
                <w:color w:val="000000"/>
                <w:kern w:val="0"/>
                <w:szCs w:val="21"/>
              </w:rPr>
            </w:pPr>
            <w:r w:rsidRPr="00CC3D6B">
              <w:rPr>
                <w:rFonts w:ascii="宋体" w:hAnsi="宋体" w:cs="宋体" w:hint="eastAsia"/>
                <w:bCs/>
                <w:color w:val="000000"/>
                <w:kern w:val="0"/>
                <w:szCs w:val="21"/>
              </w:rPr>
              <w:t>职高</w:t>
            </w:r>
          </w:p>
        </w:tc>
        <w:tc>
          <w:tcPr>
            <w:tcW w:w="834"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6</w:t>
            </w:r>
          </w:p>
        </w:tc>
        <w:tc>
          <w:tcPr>
            <w:tcW w:w="833" w:type="pct"/>
          </w:tcPr>
          <w:p w:rsidR="00674B79" w:rsidRPr="00CC3D6B" w:rsidRDefault="00674B79" w:rsidP="00E336E6">
            <w:pPr>
              <w:jc w:val="center"/>
              <w:rPr>
                <w:rFonts w:eastAsia="黑体"/>
                <w:color w:val="000000"/>
                <w:szCs w:val="21"/>
              </w:rPr>
            </w:pPr>
            <w:r w:rsidRPr="00CC3D6B">
              <w:rPr>
                <w:rFonts w:eastAsia="黑体"/>
                <w:color w:val="000000"/>
                <w:szCs w:val="21"/>
              </w:rPr>
              <w:t>5.77%</w:t>
            </w:r>
          </w:p>
        </w:tc>
        <w:tc>
          <w:tcPr>
            <w:tcW w:w="833"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3</w:t>
            </w:r>
          </w:p>
        </w:tc>
        <w:tc>
          <w:tcPr>
            <w:tcW w:w="833" w:type="pct"/>
            <w:vAlign w:val="center"/>
          </w:tcPr>
          <w:p w:rsidR="00674B79" w:rsidRPr="00CC3D6B" w:rsidRDefault="00674B79" w:rsidP="00E336E6">
            <w:pPr>
              <w:jc w:val="center"/>
              <w:rPr>
                <w:color w:val="000000"/>
                <w:szCs w:val="21"/>
              </w:rPr>
            </w:pPr>
            <w:r w:rsidRPr="00CC3D6B">
              <w:rPr>
                <w:color w:val="000000"/>
                <w:szCs w:val="21"/>
              </w:rPr>
              <w:t>2.88%</w:t>
            </w:r>
          </w:p>
        </w:tc>
        <w:tc>
          <w:tcPr>
            <w:tcW w:w="833" w:type="pct"/>
            <w:noWrap/>
            <w:vAlign w:val="center"/>
          </w:tcPr>
          <w:p w:rsidR="00674B79" w:rsidRPr="00CC3D6B" w:rsidRDefault="00674B79" w:rsidP="00E336E6">
            <w:pPr>
              <w:jc w:val="center"/>
              <w:rPr>
                <w:color w:val="000000"/>
                <w:szCs w:val="21"/>
              </w:rPr>
            </w:pPr>
            <w:r w:rsidRPr="00CC3D6B">
              <w:rPr>
                <w:color w:val="000000"/>
                <w:szCs w:val="21"/>
              </w:rPr>
              <w:t>-2.88</w:t>
            </w:r>
          </w:p>
        </w:tc>
      </w:tr>
      <w:tr w:rsidR="00674B79" w:rsidRPr="00571CB0" w:rsidTr="00E336E6">
        <w:trPr>
          <w:trHeight w:val="330"/>
        </w:trPr>
        <w:tc>
          <w:tcPr>
            <w:tcW w:w="834" w:type="pct"/>
            <w:noWrap/>
          </w:tcPr>
          <w:p w:rsidR="00674B79" w:rsidRPr="00CC3D6B" w:rsidRDefault="00674B79" w:rsidP="00E336E6">
            <w:pPr>
              <w:widowControl/>
              <w:jc w:val="center"/>
              <w:rPr>
                <w:rFonts w:ascii="宋体" w:hAnsi="宋体" w:cs="宋体"/>
                <w:bCs/>
                <w:color w:val="000000"/>
                <w:kern w:val="0"/>
                <w:szCs w:val="21"/>
              </w:rPr>
            </w:pPr>
            <w:r w:rsidRPr="00CC3D6B">
              <w:rPr>
                <w:rFonts w:ascii="宋体" w:hAnsi="宋体" w:cs="宋体" w:hint="eastAsia"/>
                <w:bCs/>
                <w:color w:val="000000"/>
                <w:kern w:val="0"/>
                <w:szCs w:val="21"/>
              </w:rPr>
              <w:t>初中</w:t>
            </w:r>
          </w:p>
        </w:tc>
        <w:tc>
          <w:tcPr>
            <w:tcW w:w="834"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26</w:t>
            </w:r>
          </w:p>
        </w:tc>
        <w:tc>
          <w:tcPr>
            <w:tcW w:w="833" w:type="pct"/>
          </w:tcPr>
          <w:p w:rsidR="00674B79" w:rsidRPr="00CC3D6B" w:rsidRDefault="00674B79" w:rsidP="00E336E6">
            <w:pPr>
              <w:jc w:val="center"/>
              <w:rPr>
                <w:rFonts w:eastAsia="黑体"/>
                <w:color w:val="000000"/>
                <w:szCs w:val="21"/>
              </w:rPr>
            </w:pPr>
            <w:r w:rsidRPr="00CC3D6B">
              <w:rPr>
                <w:rFonts w:eastAsia="黑体"/>
                <w:color w:val="000000"/>
                <w:szCs w:val="21"/>
              </w:rPr>
              <w:t>25.00%</w:t>
            </w:r>
          </w:p>
        </w:tc>
        <w:tc>
          <w:tcPr>
            <w:tcW w:w="833" w:type="pct"/>
            <w:noWrap/>
          </w:tcPr>
          <w:p w:rsidR="00674B79" w:rsidRPr="00CC3D6B" w:rsidRDefault="00674B79" w:rsidP="00E336E6">
            <w:pPr>
              <w:widowControl/>
              <w:jc w:val="center"/>
              <w:rPr>
                <w:rFonts w:eastAsia="黑体"/>
                <w:color w:val="000000"/>
                <w:kern w:val="0"/>
                <w:szCs w:val="21"/>
              </w:rPr>
            </w:pPr>
            <w:r w:rsidRPr="00CC3D6B">
              <w:rPr>
                <w:rFonts w:eastAsia="黑体"/>
                <w:color w:val="000000"/>
                <w:kern w:val="0"/>
                <w:szCs w:val="21"/>
              </w:rPr>
              <w:t>19</w:t>
            </w:r>
          </w:p>
        </w:tc>
        <w:tc>
          <w:tcPr>
            <w:tcW w:w="833" w:type="pct"/>
            <w:vAlign w:val="center"/>
          </w:tcPr>
          <w:p w:rsidR="00674B79" w:rsidRPr="00CC3D6B" w:rsidRDefault="00674B79" w:rsidP="00E336E6">
            <w:pPr>
              <w:jc w:val="center"/>
              <w:rPr>
                <w:color w:val="000000"/>
                <w:szCs w:val="21"/>
              </w:rPr>
            </w:pPr>
            <w:r w:rsidRPr="00CC3D6B">
              <w:rPr>
                <w:color w:val="000000"/>
                <w:szCs w:val="21"/>
              </w:rPr>
              <w:t>18.27%</w:t>
            </w:r>
          </w:p>
        </w:tc>
        <w:tc>
          <w:tcPr>
            <w:tcW w:w="833" w:type="pct"/>
            <w:noWrap/>
            <w:vAlign w:val="center"/>
          </w:tcPr>
          <w:p w:rsidR="00674B79" w:rsidRPr="00CC3D6B" w:rsidRDefault="00674B79" w:rsidP="00E336E6">
            <w:pPr>
              <w:jc w:val="center"/>
              <w:rPr>
                <w:color w:val="000000"/>
                <w:szCs w:val="21"/>
              </w:rPr>
            </w:pPr>
            <w:r w:rsidRPr="00CC3D6B">
              <w:rPr>
                <w:color w:val="000000"/>
                <w:szCs w:val="21"/>
              </w:rPr>
              <w:t>-6.73</w:t>
            </w:r>
          </w:p>
        </w:tc>
      </w:tr>
      <w:tr w:rsidR="00674B79" w:rsidRPr="00571CB0" w:rsidTr="00E336E6">
        <w:trPr>
          <w:trHeight w:val="330"/>
        </w:trPr>
        <w:tc>
          <w:tcPr>
            <w:tcW w:w="834" w:type="pct"/>
            <w:tcBorders>
              <w:top w:val="single" w:sz="8" w:space="0" w:color="000000"/>
              <w:left w:val="nil"/>
              <w:bottom w:val="single" w:sz="8" w:space="0" w:color="000000"/>
              <w:right w:val="nil"/>
            </w:tcBorders>
            <w:noWrap/>
          </w:tcPr>
          <w:p w:rsidR="00674B79" w:rsidRPr="00CC3D6B" w:rsidRDefault="00674B79" w:rsidP="00E336E6">
            <w:pPr>
              <w:widowControl/>
              <w:jc w:val="center"/>
              <w:rPr>
                <w:rFonts w:ascii="宋体" w:hAnsi="宋体" w:cs="宋体"/>
                <w:bCs/>
                <w:color w:val="000000"/>
                <w:kern w:val="0"/>
                <w:szCs w:val="21"/>
              </w:rPr>
            </w:pPr>
            <w:r w:rsidRPr="00CC3D6B">
              <w:rPr>
                <w:rFonts w:ascii="宋体" w:hAnsi="宋体" w:cs="宋体" w:hint="eastAsia"/>
                <w:bCs/>
                <w:color w:val="000000"/>
                <w:kern w:val="0"/>
                <w:szCs w:val="21"/>
              </w:rPr>
              <w:t>总计</w:t>
            </w:r>
          </w:p>
        </w:tc>
        <w:tc>
          <w:tcPr>
            <w:tcW w:w="834" w:type="pct"/>
            <w:tcBorders>
              <w:top w:val="single" w:sz="8" w:space="0" w:color="000000"/>
              <w:left w:val="nil"/>
              <w:bottom w:val="single" w:sz="8" w:space="0" w:color="000000"/>
              <w:right w:val="nil"/>
            </w:tcBorders>
            <w:noWrap/>
          </w:tcPr>
          <w:p w:rsidR="00674B79" w:rsidRPr="00CC3D6B" w:rsidRDefault="00674B79" w:rsidP="00E336E6">
            <w:pPr>
              <w:widowControl/>
              <w:jc w:val="center"/>
              <w:rPr>
                <w:rFonts w:eastAsia="黑体"/>
                <w:bCs/>
                <w:color w:val="000000"/>
                <w:kern w:val="0"/>
                <w:szCs w:val="21"/>
              </w:rPr>
            </w:pPr>
            <w:r w:rsidRPr="00CC3D6B">
              <w:rPr>
                <w:rFonts w:eastAsia="黑体"/>
                <w:bCs/>
                <w:color w:val="000000"/>
                <w:kern w:val="0"/>
                <w:szCs w:val="21"/>
              </w:rPr>
              <w:t>104</w:t>
            </w:r>
          </w:p>
        </w:tc>
        <w:tc>
          <w:tcPr>
            <w:tcW w:w="833" w:type="pct"/>
            <w:tcBorders>
              <w:top w:val="single" w:sz="8" w:space="0" w:color="000000"/>
              <w:left w:val="nil"/>
              <w:bottom w:val="single" w:sz="8" w:space="0" w:color="000000"/>
              <w:right w:val="nil"/>
            </w:tcBorders>
          </w:tcPr>
          <w:p w:rsidR="00674B79" w:rsidRPr="00CC3D6B" w:rsidRDefault="00674B79" w:rsidP="00E336E6">
            <w:pPr>
              <w:widowControl/>
              <w:jc w:val="center"/>
              <w:rPr>
                <w:rFonts w:eastAsia="黑体"/>
                <w:bCs/>
                <w:color w:val="000000"/>
                <w:kern w:val="0"/>
                <w:szCs w:val="21"/>
              </w:rPr>
            </w:pPr>
            <w:r w:rsidRPr="00CC3D6B">
              <w:rPr>
                <w:rFonts w:eastAsia="黑体"/>
                <w:bCs/>
                <w:color w:val="000000"/>
                <w:kern w:val="0"/>
                <w:szCs w:val="21"/>
              </w:rPr>
              <w:t>1</w:t>
            </w:r>
          </w:p>
        </w:tc>
        <w:tc>
          <w:tcPr>
            <w:tcW w:w="833" w:type="pct"/>
            <w:tcBorders>
              <w:top w:val="single" w:sz="8" w:space="0" w:color="000000"/>
              <w:left w:val="nil"/>
              <w:bottom w:val="single" w:sz="8" w:space="0" w:color="000000"/>
              <w:right w:val="nil"/>
            </w:tcBorders>
            <w:noWrap/>
          </w:tcPr>
          <w:p w:rsidR="00674B79" w:rsidRPr="00CC3D6B" w:rsidRDefault="00674B79" w:rsidP="00E336E6">
            <w:pPr>
              <w:widowControl/>
              <w:jc w:val="center"/>
              <w:rPr>
                <w:rFonts w:eastAsia="黑体"/>
                <w:bCs/>
                <w:color w:val="000000"/>
                <w:kern w:val="0"/>
                <w:szCs w:val="21"/>
              </w:rPr>
            </w:pPr>
            <w:r w:rsidRPr="00CC3D6B">
              <w:rPr>
                <w:rFonts w:eastAsia="黑体"/>
                <w:bCs/>
                <w:color w:val="000000"/>
                <w:kern w:val="0"/>
                <w:szCs w:val="21"/>
              </w:rPr>
              <w:t>104</w:t>
            </w:r>
          </w:p>
        </w:tc>
        <w:tc>
          <w:tcPr>
            <w:tcW w:w="833" w:type="pct"/>
            <w:tcBorders>
              <w:top w:val="single" w:sz="8" w:space="0" w:color="000000"/>
              <w:left w:val="nil"/>
              <w:bottom w:val="single" w:sz="8" w:space="0" w:color="000000"/>
              <w:right w:val="nil"/>
            </w:tcBorders>
          </w:tcPr>
          <w:p w:rsidR="00674B79" w:rsidRPr="00CC3D6B" w:rsidRDefault="00674B79" w:rsidP="00E336E6">
            <w:pPr>
              <w:widowControl/>
              <w:jc w:val="center"/>
              <w:rPr>
                <w:rFonts w:eastAsia="黑体"/>
                <w:bCs/>
                <w:color w:val="000000"/>
                <w:kern w:val="0"/>
                <w:szCs w:val="21"/>
              </w:rPr>
            </w:pPr>
            <w:r w:rsidRPr="00CC3D6B">
              <w:rPr>
                <w:rFonts w:eastAsia="黑体"/>
                <w:bCs/>
                <w:color w:val="000000"/>
                <w:kern w:val="0"/>
                <w:szCs w:val="21"/>
              </w:rPr>
              <w:t>1</w:t>
            </w:r>
          </w:p>
        </w:tc>
        <w:tc>
          <w:tcPr>
            <w:tcW w:w="833" w:type="pct"/>
            <w:tcBorders>
              <w:top w:val="single" w:sz="8" w:space="0" w:color="000000"/>
              <w:left w:val="nil"/>
              <w:bottom w:val="single" w:sz="8" w:space="0" w:color="000000"/>
              <w:right w:val="nil"/>
            </w:tcBorders>
            <w:noWrap/>
          </w:tcPr>
          <w:p w:rsidR="00674B79" w:rsidRPr="00CC3D6B" w:rsidRDefault="00674B79" w:rsidP="00E336E6">
            <w:pPr>
              <w:widowControl/>
              <w:jc w:val="center"/>
              <w:rPr>
                <w:rFonts w:eastAsia="黑体"/>
                <w:bCs/>
                <w:color w:val="000000"/>
                <w:kern w:val="0"/>
                <w:szCs w:val="21"/>
              </w:rPr>
            </w:pPr>
            <w:r w:rsidRPr="00CC3D6B">
              <w:rPr>
                <w:rFonts w:eastAsia="黑体"/>
                <w:bCs/>
                <w:color w:val="000000"/>
                <w:kern w:val="0"/>
                <w:szCs w:val="21"/>
              </w:rPr>
              <w:t>-</w:t>
            </w:r>
          </w:p>
        </w:tc>
      </w:tr>
    </w:tbl>
    <w:p w:rsidR="00674B79" w:rsidRDefault="00674B79" w:rsidP="00121175">
      <w:pPr>
        <w:pStyle w:val="reader-word-layer"/>
        <w:shd w:val="clear" w:color="auto" w:fill="FFFFFF"/>
        <w:spacing w:before="0" w:beforeAutospacing="0" w:after="0" w:afterAutospacing="0" w:line="288" w:lineRule="auto"/>
        <w:ind w:firstLineChars="200" w:firstLine="480"/>
        <w:outlineLvl w:val="0"/>
      </w:pPr>
      <w:r>
        <w:rPr>
          <w:rFonts w:ascii="Times New Roman" w:hint="eastAsia"/>
        </w:rPr>
        <w:t>2.</w:t>
      </w:r>
      <w:r>
        <w:rPr>
          <w:rFonts w:hint="eastAsia"/>
        </w:rPr>
        <w:t>泰兴农商行内部控制存在问题。</w:t>
      </w:r>
      <w:r w:rsidRPr="00E15723">
        <w:rPr>
          <w:rFonts w:hint="eastAsia"/>
        </w:rPr>
        <w:t>一方面，内部稽核监察部门人员较少，</w:t>
      </w:r>
      <w:r w:rsidRPr="00B1083C">
        <w:rPr>
          <w:rFonts w:hint="eastAsia"/>
        </w:rPr>
        <w:t>共5人，相对于47个网点，力量偏小，</w:t>
      </w:r>
      <w:r w:rsidRPr="00E15723">
        <w:rPr>
          <w:rFonts w:hint="eastAsia"/>
        </w:rPr>
        <w:t>内部控制检查</w:t>
      </w:r>
      <w:r>
        <w:rPr>
          <w:rFonts w:hint="eastAsia"/>
        </w:rPr>
        <w:t>过于薄弱甚至在有些网点缺失。</w:t>
      </w:r>
      <w:r w:rsidRPr="0048707B">
        <w:rPr>
          <w:rFonts w:hint="eastAsia"/>
        </w:rPr>
        <w:t>另一方面，目前内部控制机构缺乏独立性、权威性，</w:t>
      </w:r>
      <w:r>
        <w:rPr>
          <w:rFonts w:hint="eastAsia"/>
        </w:rPr>
        <w:t>审计监督职能弱化，</w:t>
      </w:r>
      <w:r w:rsidRPr="0048707B">
        <w:rPr>
          <w:rFonts w:hint="eastAsia"/>
        </w:rPr>
        <w:t>因而其无法进行独立有效的稽核监督</w:t>
      </w:r>
      <w:r>
        <w:rPr>
          <w:rFonts w:hint="eastAsia"/>
        </w:rPr>
        <w:t>。</w:t>
      </w:r>
    </w:p>
    <w:p w:rsidR="00674B79" w:rsidRDefault="00674B79" w:rsidP="00121175">
      <w:pPr>
        <w:pStyle w:val="reader-word-layer"/>
        <w:shd w:val="clear" w:color="auto" w:fill="FFFFFF"/>
        <w:spacing w:before="0" w:beforeAutospacing="0" w:after="0" w:afterAutospacing="0" w:line="288" w:lineRule="auto"/>
        <w:ind w:firstLineChars="200" w:firstLine="480"/>
        <w:outlineLvl w:val="0"/>
      </w:pPr>
      <w:r>
        <w:rPr>
          <w:rFonts w:hint="eastAsia"/>
        </w:rPr>
        <w:t>3.泰兴农商行对不良贷款管理和责任追究不力</w:t>
      </w:r>
      <w:r w:rsidR="00D41CD1">
        <w:rPr>
          <w:rFonts w:hint="eastAsia"/>
        </w:rPr>
        <w:t>。</w:t>
      </w:r>
      <w:r w:rsidR="00D41CD1" w:rsidRPr="00FD25AA">
        <w:rPr>
          <w:rFonts w:hint="eastAsia"/>
        </w:rPr>
        <w:t>泰兴农商行从2009年以来共界定为责任性不良贷款4652.18万元,处罚人次348人，处罚金额1197.79万元，其中已处罚到位78.26万元，仍有1119.5万元未处罚到位。</w:t>
      </w:r>
    </w:p>
    <w:p w:rsidR="00D41CD1" w:rsidRDefault="00D41CD1" w:rsidP="00121175">
      <w:pPr>
        <w:pStyle w:val="reader-word-layer"/>
        <w:shd w:val="clear" w:color="auto" w:fill="FFFFFF"/>
        <w:spacing w:before="0" w:beforeAutospacing="0" w:after="0" w:afterAutospacing="0" w:line="288" w:lineRule="auto"/>
        <w:ind w:firstLineChars="200" w:firstLine="480"/>
        <w:outlineLvl w:val="0"/>
      </w:pPr>
      <w:r>
        <w:rPr>
          <w:rFonts w:hint="eastAsia"/>
        </w:rPr>
        <w:t>4.</w:t>
      </w:r>
      <w:r w:rsidRPr="002667D4">
        <w:rPr>
          <w:rFonts w:hint="eastAsia"/>
        </w:rPr>
        <w:t>泰兴农商行信贷管理</w:t>
      </w:r>
      <w:r>
        <w:rPr>
          <w:rFonts w:hint="eastAsia"/>
        </w:rPr>
        <w:t>薄弱，对关注类贷款管理不力。</w:t>
      </w:r>
      <w:r w:rsidRPr="000B1645">
        <w:rPr>
          <w:rFonts w:hint="eastAsia"/>
        </w:rPr>
        <w:t>根据查看泰兴农商行的内部审计材料，发现</w:t>
      </w:r>
      <w:r>
        <w:rPr>
          <w:rFonts w:hint="eastAsia"/>
        </w:rPr>
        <w:t>其</w:t>
      </w:r>
      <w:r w:rsidRPr="00E15723">
        <w:rPr>
          <w:rFonts w:hint="eastAsia"/>
        </w:rPr>
        <w:t>信贷管理能力仍比较薄弱</w:t>
      </w:r>
      <w:r>
        <w:rPr>
          <w:rFonts w:hint="eastAsia"/>
        </w:rPr>
        <w:t>；值得注意的是，目前</w:t>
      </w:r>
      <w:r w:rsidRPr="00E15723">
        <w:rPr>
          <w:rFonts w:hint="eastAsia"/>
        </w:rPr>
        <w:t>泰兴农商行对关注类贷款的</w:t>
      </w:r>
      <w:r>
        <w:rPr>
          <w:rFonts w:hint="eastAsia"/>
        </w:rPr>
        <w:t>管理不力，存在较严重的不良贷款隐患。</w:t>
      </w:r>
    </w:p>
    <w:p w:rsidR="00D41CD1" w:rsidRDefault="00D41CD1" w:rsidP="00121175">
      <w:pPr>
        <w:pStyle w:val="reader-word-layer"/>
        <w:shd w:val="clear" w:color="auto" w:fill="FFFFFF"/>
        <w:spacing w:before="0" w:beforeAutospacing="0" w:after="0" w:afterAutospacing="0" w:line="288" w:lineRule="auto"/>
        <w:ind w:firstLineChars="200" w:firstLine="480"/>
        <w:outlineLvl w:val="0"/>
      </w:pPr>
      <w:r>
        <w:t>5.</w:t>
      </w:r>
      <w:r w:rsidRPr="004E1CBC">
        <w:rPr>
          <w:rFonts w:hint="eastAsia"/>
        </w:rPr>
        <w:t>服务对象</w:t>
      </w:r>
      <w:r>
        <w:rPr>
          <w:rFonts w:hint="eastAsia"/>
        </w:rPr>
        <w:t>、</w:t>
      </w:r>
      <w:r w:rsidRPr="004E1CBC">
        <w:rPr>
          <w:rFonts w:hint="eastAsia"/>
        </w:rPr>
        <w:t>产业单一，农业经济效益水平低</w:t>
      </w:r>
      <w:r>
        <w:rPr>
          <w:rFonts w:hint="eastAsia"/>
        </w:rPr>
        <w:t>。目前，泰兴农商行服务对象、产业单一，主要是</w:t>
      </w:r>
      <w:r w:rsidRPr="00BA00FC">
        <w:rPr>
          <w:rFonts w:hint="eastAsia"/>
        </w:rPr>
        <w:t>为农村</w:t>
      </w:r>
      <w:r>
        <w:rPr>
          <w:rFonts w:hint="eastAsia"/>
        </w:rPr>
        <w:t>、</w:t>
      </w:r>
      <w:r w:rsidRPr="00BA00FC">
        <w:rPr>
          <w:rFonts w:hint="eastAsia"/>
        </w:rPr>
        <w:t>城镇</w:t>
      </w:r>
      <w:r>
        <w:rPr>
          <w:rFonts w:hint="eastAsia"/>
        </w:rPr>
        <w:t>、</w:t>
      </w:r>
      <w:r w:rsidRPr="00BA00FC">
        <w:rPr>
          <w:rFonts w:hint="eastAsia"/>
        </w:rPr>
        <w:t>县域</w:t>
      </w:r>
      <w:r>
        <w:rPr>
          <w:rFonts w:hint="eastAsia"/>
        </w:rPr>
        <w:t>，</w:t>
      </w:r>
      <w:r w:rsidRPr="00BA00FC">
        <w:rPr>
          <w:rFonts w:hint="eastAsia"/>
        </w:rPr>
        <w:t>服务的</w:t>
      </w:r>
      <w:r>
        <w:rPr>
          <w:rFonts w:hint="eastAsia"/>
        </w:rPr>
        <w:t>对象</w:t>
      </w:r>
      <w:r w:rsidRPr="00BA00FC">
        <w:rPr>
          <w:rFonts w:hint="eastAsia"/>
        </w:rPr>
        <w:t>主要是农民</w:t>
      </w:r>
      <w:r>
        <w:rPr>
          <w:rFonts w:hint="eastAsia"/>
        </w:rPr>
        <w:t>、小微</w:t>
      </w:r>
      <w:r w:rsidRPr="00BA00FC">
        <w:rPr>
          <w:rFonts w:hint="eastAsia"/>
        </w:rPr>
        <w:t>企业等</w:t>
      </w:r>
      <w:r>
        <w:rPr>
          <w:rFonts w:hint="eastAsia"/>
        </w:rPr>
        <w:t>，服务的产业主要集中在制造业。</w:t>
      </w:r>
    </w:p>
    <w:p w:rsidR="00D41CD1" w:rsidRDefault="00D41CD1" w:rsidP="00510329">
      <w:pPr>
        <w:pStyle w:val="reader-word-layer"/>
        <w:shd w:val="clear" w:color="auto" w:fill="FFFFFF"/>
        <w:spacing w:before="0" w:beforeAutospacing="0" w:after="0" w:afterAutospacing="0" w:line="288" w:lineRule="auto"/>
        <w:ind w:firstLineChars="200" w:firstLine="480"/>
        <w:outlineLvl w:val="0"/>
      </w:pPr>
      <w:r>
        <w:rPr>
          <w:rFonts w:hint="eastAsia"/>
        </w:rPr>
        <w:t>6.信息不对称导致道德风险引起信用风险。</w:t>
      </w:r>
      <w:r w:rsidRPr="000B1645">
        <w:rPr>
          <w:rFonts w:hint="eastAsia"/>
        </w:rPr>
        <w:t>泰兴农商行服务对象主要广大农户、农村中小企业，由于这些服务对象没有健全的财务制度，存在信息不对称现象</w:t>
      </w:r>
      <w:r>
        <w:rPr>
          <w:rFonts w:hint="eastAsia"/>
        </w:rPr>
        <w:t>。</w:t>
      </w:r>
    </w:p>
    <w:p w:rsidR="00D41CD1" w:rsidRPr="00D41CD1" w:rsidRDefault="00D41CD1" w:rsidP="00510329">
      <w:pPr>
        <w:pStyle w:val="reader-word-layer"/>
        <w:shd w:val="clear" w:color="auto" w:fill="FFFFFF"/>
        <w:spacing w:before="0" w:beforeAutospacing="0" w:after="0" w:afterAutospacing="0" w:line="288" w:lineRule="auto"/>
        <w:ind w:firstLineChars="200" w:firstLine="480"/>
        <w:outlineLvl w:val="0"/>
        <w:rPr>
          <w:rFonts w:ascii="Times New Roman"/>
        </w:rPr>
      </w:pPr>
      <w:r>
        <w:t>7.</w:t>
      </w:r>
      <w:r>
        <w:rPr>
          <w:rFonts w:hint="eastAsia"/>
        </w:rPr>
        <w:t>运用技术手段和数据分析的方法和措施欠缺。</w:t>
      </w:r>
      <w:r w:rsidRPr="00003CC2">
        <w:rPr>
          <w:rFonts w:hint="eastAsia"/>
        </w:rPr>
        <w:t>泰兴农商行尚缺少较先进的信贷风险度量的技术手段和分析方法，对信用风险的衡量仍比较粗放，缺乏对量化贷款信用风险的精细化管理，从而导致银行</w:t>
      </w:r>
      <w:r>
        <w:rPr>
          <w:rFonts w:hint="eastAsia"/>
        </w:rPr>
        <w:t>对贷款信用风险的估计不精确尚存在误差。</w:t>
      </w:r>
    </w:p>
    <w:p w:rsidR="006F4B4B" w:rsidRPr="0052162E" w:rsidRDefault="0052162E" w:rsidP="00510329">
      <w:pPr>
        <w:pStyle w:val="reader-word-layer"/>
        <w:shd w:val="clear" w:color="auto" w:fill="FFFFFF"/>
        <w:spacing w:before="0" w:beforeAutospacing="0" w:after="0" w:afterAutospacing="0" w:line="288" w:lineRule="auto"/>
        <w:ind w:firstLineChars="200" w:firstLine="602"/>
        <w:jc w:val="center"/>
        <w:outlineLvl w:val="0"/>
        <w:rPr>
          <w:rFonts w:asciiTheme="minorEastAsia" w:eastAsiaTheme="minorEastAsia" w:hAnsiTheme="minorEastAsia"/>
          <w:b/>
          <w:bCs/>
          <w:color w:val="000000"/>
          <w:sz w:val="30"/>
          <w:szCs w:val="30"/>
        </w:rPr>
      </w:pPr>
      <w:r w:rsidRPr="0052162E">
        <w:rPr>
          <w:rFonts w:asciiTheme="minorEastAsia" w:eastAsiaTheme="minorEastAsia" w:hAnsiTheme="minorEastAsia" w:hint="eastAsia"/>
          <w:b/>
          <w:bCs/>
          <w:color w:val="000000"/>
          <w:sz w:val="30"/>
          <w:szCs w:val="30"/>
        </w:rPr>
        <w:t>六</w:t>
      </w:r>
      <w:r w:rsidR="006F4B4B" w:rsidRPr="0052162E">
        <w:rPr>
          <w:rFonts w:asciiTheme="minorEastAsia" w:eastAsiaTheme="minorEastAsia" w:hAnsiTheme="minorEastAsia" w:hint="eastAsia"/>
          <w:b/>
          <w:bCs/>
          <w:color w:val="000000"/>
          <w:sz w:val="30"/>
          <w:szCs w:val="30"/>
        </w:rPr>
        <w:t>、</w:t>
      </w:r>
      <w:r w:rsidR="00A32F32" w:rsidRPr="0052162E">
        <w:rPr>
          <w:rFonts w:asciiTheme="minorEastAsia" w:eastAsiaTheme="minorEastAsia" w:hAnsiTheme="minorEastAsia" w:hint="eastAsia"/>
          <w:b/>
          <w:bCs/>
          <w:color w:val="000000"/>
          <w:sz w:val="30"/>
          <w:szCs w:val="30"/>
        </w:rPr>
        <w:t>解决方案</w:t>
      </w:r>
    </w:p>
    <w:p w:rsidR="0052162E" w:rsidRPr="0052162E" w:rsidRDefault="0052162E" w:rsidP="00510329">
      <w:pPr>
        <w:pStyle w:val="reader-word-layer"/>
        <w:shd w:val="clear" w:color="auto" w:fill="FFFFFF"/>
        <w:spacing w:before="0" w:beforeAutospacing="0" w:after="0" w:afterAutospacing="0" w:line="288" w:lineRule="auto"/>
        <w:rPr>
          <w:rFonts w:asciiTheme="minorEastAsia" w:eastAsiaTheme="minorEastAsia" w:hAnsiTheme="minorEastAsia"/>
          <w:b/>
          <w:color w:val="000000"/>
        </w:rPr>
      </w:pPr>
      <w:r w:rsidRPr="0052162E">
        <w:rPr>
          <w:rFonts w:asciiTheme="minorEastAsia" w:eastAsiaTheme="minorEastAsia" w:hAnsiTheme="minorEastAsia" w:hint="eastAsia"/>
          <w:b/>
          <w:color w:val="000000"/>
        </w:rPr>
        <w:t>（一）</w:t>
      </w:r>
      <w:r w:rsidR="00D41CD1" w:rsidRPr="00D41CD1">
        <w:rPr>
          <w:rFonts w:asciiTheme="minorEastAsia" w:eastAsiaTheme="minorEastAsia" w:hAnsiTheme="minorEastAsia" w:hint="eastAsia"/>
          <w:b/>
          <w:color w:val="000000"/>
        </w:rPr>
        <w:t>加强信贷队伍建设，提升素质，增强防风险的意识</w:t>
      </w:r>
    </w:p>
    <w:p w:rsidR="0051567B" w:rsidRPr="00D41CD1" w:rsidRDefault="00D41CD1" w:rsidP="00D41CD1">
      <w:pPr>
        <w:pStyle w:val="reader-word-layer"/>
        <w:shd w:val="clear" w:color="auto" w:fill="FFFFFF"/>
        <w:spacing w:before="0" w:beforeAutospacing="0" w:after="0" w:afterAutospacing="0" w:line="288" w:lineRule="auto"/>
        <w:ind w:firstLineChars="200" w:firstLine="480"/>
        <w:rPr>
          <w:rFonts w:asciiTheme="minorEastAsia" w:eastAsiaTheme="minorEastAsia" w:hAnsiTheme="minorEastAsia"/>
          <w:color w:val="000000"/>
        </w:rPr>
      </w:pPr>
      <w:r w:rsidRPr="000C48EA">
        <w:rPr>
          <w:rFonts w:hint="eastAsia"/>
        </w:rPr>
        <w:lastRenderedPageBreak/>
        <w:t>针对泰兴农商行信贷队伍的现状，建议泰兴农商行要</w:t>
      </w:r>
      <w:r>
        <w:rPr>
          <w:rFonts w:hint="eastAsia"/>
        </w:rPr>
        <w:t>采取切实计划，建立一支能力强、素质高的信贷队伍：</w:t>
      </w:r>
      <w:r w:rsidRPr="00D41CD1">
        <w:rPr>
          <w:rFonts w:asciiTheme="minorEastAsia" w:eastAsiaTheme="minorEastAsia" w:hAnsiTheme="minorEastAsia" w:hint="eastAsia"/>
          <w:color w:val="000000"/>
        </w:rPr>
        <w:t>（1）将员工中的学历高、能力强的年青人充实到信贷队伍中来，以壮大信贷队伍，满足服务的需求。（2）明确信贷人员各自职责，根据信贷工作的具体要求，明确划分信贷人员各自的职责，使信贷人员把工作重点放在各自明确规定的职责上来。（3）完善信贷人员的激励约束机制。建立科学、合理、可行的信贷人员约束机制，规范信贷人员的工作；建立有效、完善、可行的激励机制，始终实行业绩评价和利益分享相挂钩的制度。（4</w:t>
      </w:r>
      <w:r>
        <w:rPr>
          <w:rFonts w:asciiTheme="minorEastAsia" w:eastAsiaTheme="minorEastAsia" w:hAnsiTheme="minorEastAsia" w:hint="eastAsia"/>
          <w:color w:val="000000"/>
        </w:rPr>
        <w:t>）教育信贷人员树立依法合规人人有责的理念</w:t>
      </w:r>
      <w:r w:rsidRPr="00D41CD1">
        <w:rPr>
          <w:rFonts w:asciiTheme="minorEastAsia" w:eastAsiaTheme="minorEastAsia" w:hAnsiTheme="minorEastAsia" w:hint="eastAsia"/>
          <w:color w:val="000000"/>
        </w:rPr>
        <w:t>。</w:t>
      </w:r>
    </w:p>
    <w:p w:rsidR="00F46485" w:rsidRPr="00F46485" w:rsidRDefault="0052162E" w:rsidP="00510329">
      <w:pPr>
        <w:pStyle w:val="reader-word-layer"/>
        <w:shd w:val="clear" w:color="auto" w:fill="FFFFFF"/>
        <w:spacing w:before="0" w:beforeAutospacing="0" w:after="0" w:afterAutospacing="0" w:line="288" w:lineRule="auto"/>
        <w:rPr>
          <w:rFonts w:asciiTheme="minorEastAsia" w:eastAsiaTheme="minorEastAsia" w:hAnsiTheme="minorEastAsia"/>
          <w:b/>
          <w:color w:val="000000"/>
        </w:rPr>
      </w:pPr>
      <w:r w:rsidRPr="0052162E">
        <w:rPr>
          <w:rFonts w:asciiTheme="minorEastAsia" w:eastAsiaTheme="minorEastAsia" w:hAnsiTheme="minorEastAsia" w:hint="eastAsia"/>
          <w:b/>
          <w:color w:val="000000"/>
        </w:rPr>
        <w:t>（二）</w:t>
      </w:r>
      <w:r w:rsidR="00D41CD1" w:rsidRPr="00D41CD1">
        <w:rPr>
          <w:rFonts w:asciiTheme="minorEastAsia" w:eastAsiaTheme="minorEastAsia" w:hAnsiTheme="minorEastAsia" w:hint="eastAsia"/>
          <w:b/>
          <w:color w:val="000000"/>
        </w:rPr>
        <w:t>加强对关注类贷款的管理，防范其迁徙为不良贷款</w:t>
      </w:r>
    </w:p>
    <w:p w:rsidR="0051567B" w:rsidRPr="0051567B" w:rsidRDefault="009C7420" w:rsidP="00D41CD1">
      <w:pPr>
        <w:pStyle w:val="reader-word-layer"/>
        <w:shd w:val="clear" w:color="auto" w:fill="FFFFFF"/>
        <w:spacing w:before="0" w:beforeAutospacing="0" w:after="0" w:afterAutospacing="0" w:line="288" w:lineRule="auto"/>
        <w:ind w:firstLineChars="200" w:firstLine="480"/>
      </w:pPr>
      <w:r>
        <w:rPr>
          <w:rFonts w:asciiTheme="minorEastAsia" w:eastAsiaTheme="minorEastAsia" w:hAnsiTheme="minorEastAsia" w:hint="eastAsia"/>
          <w:color w:val="000000"/>
        </w:rPr>
        <w:t>（1）</w:t>
      </w:r>
      <w:r w:rsidR="00D41CD1" w:rsidRPr="000C48EA">
        <w:rPr>
          <w:rFonts w:hint="eastAsia"/>
        </w:rPr>
        <w:t>首先，应</w:t>
      </w:r>
      <w:r w:rsidR="00D41CD1">
        <w:rPr>
          <w:rFonts w:hint="eastAsia"/>
        </w:rPr>
        <w:t>充分认识到</w:t>
      </w:r>
      <w:r w:rsidR="00D41CD1" w:rsidRPr="000C48EA">
        <w:rPr>
          <w:rFonts w:hint="eastAsia"/>
        </w:rPr>
        <w:t>关注类贷款</w:t>
      </w:r>
      <w:r w:rsidR="00D41CD1">
        <w:rPr>
          <w:rFonts w:hint="eastAsia"/>
        </w:rPr>
        <w:t>的特殊地位和特殊性质，以及其非正常状态下的巨大隐患</w:t>
      </w:r>
      <w:r w:rsidR="00D41CD1" w:rsidRPr="000C48EA">
        <w:rPr>
          <w:rFonts w:hint="eastAsia"/>
        </w:rPr>
        <w:t>。</w:t>
      </w:r>
      <w:r w:rsidR="0051567B">
        <w:rPr>
          <w:rFonts w:asciiTheme="minorEastAsia" w:eastAsiaTheme="minorEastAsia" w:hAnsiTheme="minorEastAsia" w:hint="eastAsia"/>
          <w:color w:val="000000"/>
        </w:rPr>
        <w:t>（</w:t>
      </w:r>
      <w:r w:rsidR="0051567B">
        <w:rPr>
          <w:rFonts w:asciiTheme="minorEastAsia" w:eastAsiaTheme="minorEastAsia" w:hAnsiTheme="minorEastAsia"/>
          <w:color w:val="000000"/>
        </w:rPr>
        <w:t>2</w:t>
      </w:r>
      <w:r w:rsidR="0051567B">
        <w:rPr>
          <w:rFonts w:asciiTheme="minorEastAsia" w:eastAsiaTheme="minorEastAsia" w:hAnsiTheme="minorEastAsia" w:hint="eastAsia"/>
          <w:color w:val="000000"/>
        </w:rPr>
        <w:t>）</w:t>
      </w:r>
      <w:r w:rsidR="00D41CD1" w:rsidRPr="000C48EA">
        <w:rPr>
          <w:rFonts w:hint="eastAsia"/>
        </w:rPr>
        <w:t>其次，</w:t>
      </w:r>
      <w:r w:rsidR="00D41CD1">
        <w:rPr>
          <w:rFonts w:hint="eastAsia"/>
        </w:rPr>
        <w:t>对贷款的管理实行差别化管理</w:t>
      </w:r>
      <w:r w:rsidR="00D41CD1" w:rsidRPr="000C48EA">
        <w:rPr>
          <w:rFonts w:hint="eastAsia"/>
        </w:rPr>
        <w:t>，</w:t>
      </w:r>
      <w:r w:rsidR="00D41CD1">
        <w:rPr>
          <w:rFonts w:hint="eastAsia"/>
        </w:rPr>
        <w:t>并进一步对</w:t>
      </w:r>
      <w:r w:rsidR="00D41CD1" w:rsidRPr="000C48EA">
        <w:rPr>
          <w:rFonts w:hint="eastAsia"/>
        </w:rPr>
        <w:t>关注类贷款</w:t>
      </w:r>
      <w:r w:rsidR="00D41CD1">
        <w:rPr>
          <w:rFonts w:hint="eastAsia"/>
        </w:rPr>
        <w:t>实行</w:t>
      </w:r>
      <w:r w:rsidR="00D41CD1" w:rsidRPr="000C48EA">
        <w:rPr>
          <w:rFonts w:hint="eastAsia"/>
        </w:rPr>
        <w:t>精细化管理。</w:t>
      </w:r>
      <w:r w:rsidR="0051567B">
        <w:rPr>
          <w:rFonts w:asciiTheme="minorEastAsia" w:eastAsiaTheme="minorEastAsia" w:hAnsiTheme="minorEastAsia" w:hint="eastAsia"/>
          <w:color w:val="000000"/>
        </w:rPr>
        <w:t>（</w:t>
      </w:r>
      <w:r w:rsidR="0051567B">
        <w:rPr>
          <w:rFonts w:asciiTheme="minorEastAsia" w:eastAsiaTheme="minorEastAsia" w:hAnsiTheme="minorEastAsia"/>
          <w:color w:val="000000"/>
        </w:rPr>
        <w:t>3</w:t>
      </w:r>
      <w:r w:rsidR="0051567B">
        <w:rPr>
          <w:rFonts w:asciiTheme="minorEastAsia" w:eastAsiaTheme="minorEastAsia" w:hAnsiTheme="minorEastAsia" w:hint="eastAsia"/>
          <w:color w:val="000000"/>
        </w:rPr>
        <w:t>）</w:t>
      </w:r>
      <w:r w:rsidR="00D41CD1" w:rsidRPr="000C48EA">
        <w:rPr>
          <w:rFonts w:hint="eastAsia"/>
        </w:rPr>
        <w:t>再者，</w:t>
      </w:r>
      <w:r w:rsidR="00D41CD1">
        <w:rPr>
          <w:rFonts w:hint="eastAsia"/>
        </w:rPr>
        <w:t>实时更新，加强对关注类贷款监控的时效性</w:t>
      </w:r>
      <w:r w:rsidR="0051567B">
        <w:rPr>
          <w:rFonts w:hint="eastAsia"/>
        </w:rPr>
        <w:t>。</w:t>
      </w:r>
      <w:r w:rsidR="00D41CD1" w:rsidRPr="000C48EA">
        <w:rPr>
          <w:rFonts w:hint="eastAsia"/>
        </w:rPr>
        <w:t>（4）此外，泰兴农商</w:t>
      </w:r>
      <w:r w:rsidR="00D41CD1">
        <w:rPr>
          <w:rFonts w:hint="eastAsia"/>
        </w:rPr>
        <w:t>行关注类贷款有增无减，应将对关注类贷款的预警防范纳入日常工作中。</w:t>
      </w:r>
    </w:p>
    <w:p w:rsidR="00FA1F0C" w:rsidRPr="00F46485" w:rsidRDefault="00FA1F0C" w:rsidP="00510329">
      <w:pPr>
        <w:pStyle w:val="reader-word-layer"/>
        <w:shd w:val="clear" w:color="auto" w:fill="FFFFFF"/>
        <w:spacing w:before="0" w:beforeAutospacing="0" w:after="0" w:afterAutospacing="0" w:line="288" w:lineRule="auto"/>
        <w:rPr>
          <w:rFonts w:asciiTheme="minorEastAsia" w:eastAsiaTheme="minorEastAsia" w:hAnsiTheme="minorEastAsia"/>
          <w:b/>
          <w:color w:val="000000"/>
        </w:rPr>
      </w:pPr>
      <w:r w:rsidRPr="0052162E">
        <w:rPr>
          <w:rFonts w:asciiTheme="minorEastAsia" w:eastAsiaTheme="minorEastAsia" w:hAnsiTheme="minorEastAsia" w:hint="eastAsia"/>
          <w:b/>
          <w:color w:val="000000"/>
        </w:rPr>
        <w:t>（</w:t>
      </w:r>
      <w:r>
        <w:rPr>
          <w:rFonts w:asciiTheme="minorEastAsia" w:eastAsiaTheme="minorEastAsia" w:hAnsiTheme="minorEastAsia" w:hint="eastAsia"/>
          <w:b/>
          <w:color w:val="000000"/>
        </w:rPr>
        <w:t>三</w:t>
      </w:r>
      <w:r w:rsidRPr="0052162E">
        <w:rPr>
          <w:rFonts w:asciiTheme="minorEastAsia" w:eastAsiaTheme="minorEastAsia" w:hAnsiTheme="minorEastAsia" w:hint="eastAsia"/>
          <w:b/>
          <w:color w:val="000000"/>
        </w:rPr>
        <w:t>）</w:t>
      </w:r>
      <w:r w:rsidR="00D41CD1" w:rsidRPr="00D41CD1">
        <w:rPr>
          <w:rFonts w:asciiTheme="minorEastAsia" w:eastAsiaTheme="minorEastAsia" w:hAnsiTheme="minorEastAsia" w:hint="eastAsia"/>
          <w:b/>
          <w:color w:val="000000"/>
        </w:rPr>
        <w:t>多法并举，加强不良贷款的管理，严控新增不良贷款</w:t>
      </w:r>
    </w:p>
    <w:p w:rsidR="009C7420" w:rsidRDefault="00510329" w:rsidP="00510329">
      <w:pPr>
        <w:pStyle w:val="reader-word-layer"/>
        <w:shd w:val="clear" w:color="auto" w:fill="FFFFFF"/>
        <w:spacing w:before="0" w:beforeAutospacing="0" w:after="0" w:afterAutospacing="0" w:line="288" w:lineRule="auto"/>
        <w:ind w:firstLineChars="200" w:firstLine="480"/>
      </w:pPr>
      <w:r>
        <w:rPr>
          <w:rFonts w:hint="eastAsia"/>
        </w:rPr>
        <w:t>（1</w:t>
      </w:r>
      <w:r>
        <w:t>）</w:t>
      </w:r>
      <w:r w:rsidR="00D41CD1" w:rsidRPr="000C48EA">
        <w:rPr>
          <w:rFonts w:hint="eastAsia"/>
        </w:rPr>
        <w:t>首先，对不良贷款实行集中管理，设置资产保全部，将不良贷款上收资产保全部清收管理</w:t>
      </w:r>
      <w:r>
        <w:rPr>
          <w:rFonts w:hint="eastAsia"/>
        </w:rPr>
        <w:t>。</w:t>
      </w:r>
      <w:r w:rsidR="00D41CD1" w:rsidRPr="000C48EA">
        <w:rPr>
          <w:rFonts w:hint="eastAsia"/>
        </w:rPr>
        <w:t>（2）其次，多法并举，加大不良贷款的清收力度。（3）再者，注重第一还款来源。加强贷前风险评估，落实贷款风险评价</w:t>
      </w:r>
      <w:r w:rsidR="00D41CD1">
        <w:rPr>
          <w:rFonts w:hint="eastAsia"/>
        </w:rPr>
        <w:t>。</w:t>
      </w:r>
    </w:p>
    <w:p w:rsidR="00FA1F0C" w:rsidRPr="00F46485" w:rsidRDefault="00FA1F0C" w:rsidP="00510329">
      <w:pPr>
        <w:pStyle w:val="reader-word-layer"/>
        <w:shd w:val="clear" w:color="auto" w:fill="FFFFFF"/>
        <w:spacing w:before="0" w:beforeAutospacing="0" w:after="0" w:afterAutospacing="0" w:line="288" w:lineRule="auto"/>
        <w:rPr>
          <w:rFonts w:asciiTheme="minorEastAsia" w:eastAsiaTheme="minorEastAsia" w:hAnsiTheme="minorEastAsia"/>
          <w:b/>
          <w:color w:val="000000"/>
        </w:rPr>
      </w:pPr>
      <w:r w:rsidRPr="0052162E">
        <w:rPr>
          <w:rFonts w:asciiTheme="minorEastAsia" w:eastAsiaTheme="minorEastAsia" w:hAnsiTheme="minorEastAsia" w:hint="eastAsia"/>
          <w:b/>
          <w:color w:val="000000"/>
        </w:rPr>
        <w:t>（</w:t>
      </w:r>
      <w:r>
        <w:rPr>
          <w:rFonts w:asciiTheme="minorEastAsia" w:eastAsiaTheme="minorEastAsia" w:hAnsiTheme="minorEastAsia" w:hint="eastAsia"/>
          <w:b/>
          <w:color w:val="000000"/>
        </w:rPr>
        <w:t>四</w:t>
      </w:r>
      <w:r w:rsidRPr="0052162E">
        <w:rPr>
          <w:rFonts w:asciiTheme="minorEastAsia" w:eastAsiaTheme="minorEastAsia" w:hAnsiTheme="minorEastAsia" w:hint="eastAsia"/>
          <w:b/>
          <w:color w:val="000000"/>
        </w:rPr>
        <w:t>）</w:t>
      </w:r>
      <w:r w:rsidR="00D41CD1" w:rsidRPr="00D41CD1">
        <w:rPr>
          <w:rFonts w:asciiTheme="minorEastAsia" w:eastAsiaTheme="minorEastAsia" w:hAnsiTheme="minorEastAsia" w:hint="eastAsia"/>
          <w:b/>
          <w:color w:val="000000"/>
        </w:rPr>
        <w:t>借鉴先进的信用分析手段，运用技术手段分析和测算信用风险</w:t>
      </w:r>
    </w:p>
    <w:p w:rsidR="00510329" w:rsidRPr="00C65222" w:rsidRDefault="00D41CD1" w:rsidP="00C65222">
      <w:pPr>
        <w:pStyle w:val="reader-word-layer"/>
        <w:shd w:val="clear" w:color="auto" w:fill="FFFFFF"/>
        <w:spacing w:before="0" w:beforeAutospacing="0" w:after="0" w:afterAutospacing="0" w:line="288" w:lineRule="auto"/>
        <w:ind w:firstLineChars="200" w:firstLine="480"/>
      </w:pPr>
      <w:r>
        <w:rPr>
          <w:rFonts w:hint="eastAsia"/>
        </w:rPr>
        <w:t>（1）</w:t>
      </w:r>
      <w:r w:rsidRPr="00E15723">
        <w:rPr>
          <w:rFonts w:hint="eastAsia"/>
        </w:rPr>
        <w:t>首先，泰兴农商行</w:t>
      </w:r>
      <w:r>
        <w:rPr>
          <w:rFonts w:hint="eastAsia"/>
        </w:rPr>
        <w:t>要</w:t>
      </w:r>
      <w:r w:rsidRPr="00E15723">
        <w:rPr>
          <w:rFonts w:hint="eastAsia"/>
        </w:rPr>
        <w:t>充分</w:t>
      </w:r>
      <w:r>
        <w:rPr>
          <w:rFonts w:hint="eastAsia"/>
        </w:rPr>
        <w:t>学习</w:t>
      </w:r>
      <w:r w:rsidRPr="00E15723">
        <w:rPr>
          <w:rFonts w:hint="eastAsia"/>
        </w:rPr>
        <w:t>借鉴国</w:t>
      </w:r>
      <w:r>
        <w:rPr>
          <w:rFonts w:hint="eastAsia"/>
        </w:rPr>
        <w:t>内</w:t>
      </w:r>
      <w:r w:rsidRPr="00E15723">
        <w:rPr>
          <w:rFonts w:hint="eastAsia"/>
        </w:rPr>
        <w:t>外先进的风险度量</w:t>
      </w:r>
      <w:r>
        <w:rPr>
          <w:rFonts w:hint="eastAsia"/>
        </w:rPr>
        <w:t>方法和模型</w:t>
      </w:r>
      <w:r w:rsidRPr="00E15723">
        <w:rPr>
          <w:rFonts w:hint="eastAsia"/>
        </w:rPr>
        <w:t>，引进</w:t>
      </w:r>
      <w:r>
        <w:rPr>
          <w:rFonts w:hint="eastAsia"/>
        </w:rPr>
        <w:t>先进的信贷风险量化方法和模型并有选择的加以利用。（2）</w:t>
      </w:r>
      <w:r w:rsidRPr="00E15723">
        <w:rPr>
          <w:rFonts w:hint="eastAsia"/>
        </w:rPr>
        <w:t>其次，建立信用资产</w:t>
      </w:r>
      <w:r>
        <w:rPr>
          <w:rFonts w:hint="eastAsia"/>
        </w:rPr>
        <w:t>历史</w:t>
      </w:r>
      <w:r w:rsidRPr="00E15723">
        <w:rPr>
          <w:rFonts w:hint="eastAsia"/>
        </w:rPr>
        <w:t>数据库，</w:t>
      </w:r>
      <w:r>
        <w:rPr>
          <w:rFonts w:hint="eastAsia"/>
        </w:rPr>
        <w:t>充分发挥信息技术在信贷风险管理方面的作用</w:t>
      </w:r>
      <w:r w:rsidRPr="00E15723">
        <w:rPr>
          <w:rFonts w:hint="eastAsia"/>
        </w:rPr>
        <w:t>。</w:t>
      </w:r>
    </w:p>
    <w:p w:rsidR="006F4B4B" w:rsidRPr="0052162E" w:rsidRDefault="0052162E" w:rsidP="0052162E">
      <w:pPr>
        <w:pStyle w:val="reader-word-layer"/>
        <w:shd w:val="clear" w:color="auto" w:fill="FFFFFF"/>
        <w:spacing w:before="0" w:beforeAutospacing="0" w:after="0" w:afterAutospacing="0" w:line="288" w:lineRule="auto"/>
        <w:ind w:firstLineChars="200" w:firstLine="602"/>
        <w:jc w:val="center"/>
        <w:outlineLvl w:val="0"/>
        <w:rPr>
          <w:rFonts w:asciiTheme="minorEastAsia" w:eastAsiaTheme="minorEastAsia" w:hAnsiTheme="minorEastAsia"/>
          <w:b/>
          <w:bCs/>
          <w:color w:val="000000"/>
          <w:sz w:val="30"/>
          <w:szCs w:val="30"/>
        </w:rPr>
      </w:pPr>
      <w:r w:rsidRPr="0052162E">
        <w:rPr>
          <w:rFonts w:asciiTheme="minorEastAsia" w:eastAsiaTheme="minorEastAsia" w:hAnsiTheme="minorEastAsia" w:hint="eastAsia"/>
          <w:b/>
          <w:bCs/>
          <w:color w:val="000000"/>
          <w:sz w:val="30"/>
          <w:szCs w:val="30"/>
        </w:rPr>
        <w:t>七</w:t>
      </w:r>
      <w:r w:rsidR="006F4B4B" w:rsidRPr="0052162E">
        <w:rPr>
          <w:rFonts w:asciiTheme="minorEastAsia" w:eastAsiaTheme="minorEastAsia" w:hAnsiTheme="minorEastAsia" w:hint="eastAsia"/>
          <w:b/>
          <w:bCs/>
          <w:color w:val="000000"/>
          <w:sz w:val="30"/>
          <w:szCs w:val="30"/>
        </w:rPr>
        <w:t>、参考文献</w:t>
      </w:r>
    </w:p>
    <w:p w:rsidR="005E4BEC" w:rsidRPr="004316C3" w:rsidRDefault="00975BC7" w:rsidP="00975BC7">
      <w:pPr>
        <w:pStyle w:val="p16"/>
        <w:numPr>
          <w:ilvl w:val="0"/>
          <w:numId w:val="4"/>
        </w:numPr>
        <w:spacing w:line="288" w:lineRule="auto"/>
        <w:jc w:val="left"/>
        <w:rPr>
          <w:rFonts w:ascii="Times New Roman" w:hAnsi="Times New Roman" w:cs="Times New Roman"/>
        </w:rPr>
      </w:pPr>
      <w:r w:rsidRPr="00975BC7">
        <w:rPr>
          <w:rFonts w:ascii="Times New Roman" w:hAnsi="Times New Roman" w:cs="Times New Roman"/>
        </w:rPr>
        <w:t>Jacobsen Grant. Health and Death Risk and Income Decisions: Evidence from Microfinance[J]. Journal of Development Studies, 2009,45(06):934-946</w:t>
      </w:r>
    </w:p>
    <w:p w:rsidR="006F4B4B" w:rsidRPr="00E0124D" w:rsidRDefault="006F4B4B" w:rsidP="006F4B4B">
      <w:pPr>
        <w:pStyle w:val="reader-word-layer"/>
        <w:shd w:val="clear" w:color="auto" w:fill="FFFFFF"/>
        <w:spacing w:before="0" w:beforeAutospacing="0" w:after="0" w:afterAutospacing="0" w:line="400" w:lineRule="exact"/>
        <w:ind w:firstLineChars="200" w:firstLine="482"/>
        <w:rPr>
          <w:rFonts w:asciiTheme="minorEastAsia" w:eastAsiaTheme="minorEastAsia" w:hAnsiTheme="minorEastAsia"/>
          <w:b/>
          <w:bCs/>
          <w:color w:val="000000"/>
        </w:rPr>
      </w:pPr>
    </w:p>
    <w:p w:rsidR="006F4B4B" w:rsidRPr="007A77F2" w:rsidRDefault="006F4B4B" w:rsidP="006F4B4B">
      <w:pPr>
        <w:pStyle w:val="reader-word-layer"/>
        <w:shd w:val="clear" w:color="auto" w:fill="FFFFFF"/>
        <w:spacing w:before="0" w:beforeAutospacing="0" w:after="0" w:afterAutospacing="0" w:line="240" w:lineRule="atLeast"/>
        <w:jc w:val="right"/>
        <w:rPr>
          <w:rFonts w:ascii="Simsun" w:hAnsi="Simsun" w:hint="eastAsia"/>
          <w:b/>
          <w:bCs/>
          <w:color w:val="000000"/>
        </w:rPr>
      </w:pPr>
      <w:r w:rsidRPr="007A77F2">
        <w:rPr>
          <w:rFonts w:ascii="Simsun" w:hAnsi="Simsun"/>
          <w:b/>
          <w:bCs/>
          <w:color w:val="000000"/>
        </w:rPr>
        <w:t> </w:t>
      </w:r>
    </w:p>
    <w:p w:rsidR="00B8491F" w:rsidRDefault="00B8491F">
      <w:pPr>
        <w:widowControl/>
        <w:jc w:val="left"/>
        <w:rPr>
          <w:rFonts w:hint="eastAsia"/>
          <w:b/>
          <w:sz w:val="32"/>
          <w:szCs w:val="32"/>
        </w:rPr>
      </w:pPr>
    </w:p>
    <w:p w:rsidR="00575B45" w:rsidRDefault="00575B45">
      <w:pPr>
        <w:widowControl/>
        <w:jc w:val="left"/>
        <w:rPr>
          <w:rFonts w:hint="eastAsia"/>
          <w:b/>
          <w:sz w:val="32"/>
          <w:szCs w:val="32"/>
        </w:rPr>
      </w:pPr>
    </w:p>
    <w:p w:rsidR="00575B45" w:rsidRDefault="00575B45">
      <w:pPr>
        <w:widowControl/>
        <w:jc w:val="left"/>
        <w:rPr>
          <w:rFonts w:hint="eastAsia"/>
          <w:b/>
          <w:sz w:val="32"/>
          <w:szCs w:val="32"/>
        </w:rPr>
      </w:pPr>
    </w:p>
    <w:p w:rsidR="00575B45" w:rsidRDefault="00575B45">
      <w:pPr>
        <w:widowControl/>
        <w:jc w:val="left"/>
        <w:rPr>
          <w:b/>
          <w:sz w:val="32"/>
          <w:szCs w:val="32"/>
        </w:rPr>
      </w:pPr>
    </w:p>
    <w:p w:rsidR="00C27CD3" w:rsidRDefault="00C27CD3" w:rsidP="00510329">
      <w:pPr>
        <w:widowControl/>
        <w:rPr>
          <w:b/>
          <w:sz w:val="32"/>
          <w:szCs w:val="32"/>
        </w:rPr>
      </w:pPr>
      <w:bookmarkStart w:id="0" w:name="_GoBack"/>
      <w:bookmarkEnd w:id="0"/>
    </w:p>
    <w:p w:rsidR="004B1BA9" w:rsidRPr="00B47B23" w:rsidRDefault="004B1BA9" w:rsidP="009836DC">
      <w:pPr>
        <w:widowControl/>
        <w:jc w:val="center"/>
        <w:rPr>
          <w:b/>
          <w:sz w:val="32"/>
          <w:szCs w:val="32"/>
        </w:rPr>
      </w:pPr>
      <w:r>
        <w:rPr>
          <w:rFonts w:hint="eastAsia"/>
          <w:b/>
          <w:sz w:val="32"/>
          <w:szCs w:val="32"/>
        </w:rPr>
        <w:lastRenderedPageBreak/>
        <w:t>南京农业</w:t>
      </w:r>
      <w:r w:rsidRPr="00B47B23">
        <w:rPr>
          <w:rFonts w:hint="eastAsia"/>
          <w:b/>
          <w:sz w:val="32"/>
          <w:szCs w:val="32"/>
        </w:rPr>
        <w:t>大学</w:t>
      </w:r>
      <w:r w:rsidRPr="004B1BA9">
        <w:rPr>
          <w:rFonts w:hint="eastAsia"/>
          <w:b/>
          <w:sz w:val="32"/>
          <w:szCs w:val="32"/>
        </w:rPr>
        <w:t xml:space="preserve">MBA </w:t>
      </w:r>
      <w:r w:rsidRPr="00B47B23">
        <w:rPr>
          <w:rFonts w:hint="eastAsia"/>
          <w:b/>
          <w:sz w:val="32"/>
          <w:szCs w:val="32"/>
        </w:rPr>
        <w:t>硕士研究生</w:t>
      </w:r>
      <w:r w:rsidR="00B8491F">
        <w:rPr>
          <w:rFonts w:hint="eastAsia"/>
          <w:b/>
          <w:sz w:val="32"/>
          <w:szCs w:val="32"/>
        </w:rPr>
        <w:t>实践</w:t>
      </w:r>
      <w:r>
        <w:rPr>
          <w:rFonts w:hint="eastAsia"/>
          <w:b/>
          <w:sz w:val="32"/>
          <w:szCs w:val="32"/>
        </w:rPr>
        <w:t>报告</w:t>
      </w:r>
      <w:r w:rsidR="006027A7">
        <w:rPr>
          <w:rFonts w:hint="eastAsia"/>
          <w:b/>
          <w:sz w:val="32"/>
          <w:szCs w:val="32"/>
        </w:rPr>
        <w:t>评阅表</w:t>
      </w:r>
    </w:p>
    <w:tbl>
      <w:tblPr>
        <w:tblpPr w:leftFromText="180" w:rightFromText="180" w:vertAnchor="text" w:horzAnchor="margin" w:tblpXSpec="center" w:tblpY="158"/>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6"/>
        <w:gridCol w:w="425"/>
        <w:gridCol w:w="3402"/>
        <w:gridCol w:w="1134"/>
        <w:gridCol w:w="2715"/>
      </w:tblGrid>
      <w:tr w:rsidR="00DC2163" w:rsidTr="00DC2163">
        <w:trPr>
          <w:trHeight w:val="616"/>
          <w:jc w:val="center"/>
        </w:trPr>
        <w:tc>
          <w:tcPr>
            <w:tcW w:w="1271" w:type="dxa"/>
            <w:gridSpan w:val="2"/>
            <w:vAlign w:val="center"/>
          </w:tcPr>
          <w:p w:rsidR="00DC2163" w:rsidRPr="00B47B23" w:rsidRDefault="00DC2163" w:rsidP="004B1BA9">
            <w:pPr>
              <w:jc w:val="center"/>
              <w:rPr>
                <w:b/>
                <w:sz w:val="24"/>
              </w:rPr>
            </w:pPr>
            <w:r w:rsidRPr="00B47B23">
              <w:rPr>
                <w:rFonts w:hint="eastAsia"/>
                <w:b/>
                <w:sz w:val="24"/>
              </w:rPr>
              <w:t>姓名</w:t>
            </w:r>
          </w:p>
        </w:tc>
        <w:tc>
          <w:tcPr>
            <w:tcW w:w="3402" w:type="dxa"/>
            <w:vAlign w:val="center"/>
          </w:tcPr>
          <w:p w:rsidR="00DC2163" w:rsidRPr="0072638E" w:rsidRDefault="00CC2BF8" w:rsidP="004B1BA9">
            <w:pPr>
              <w:jc w:val="center"/>
              <w:rPr>
                <w:sz w:val="24"/>
              </w:rPr>
            </w:pPr>
            <w:r>
              <w:rPr>
                <w:rFonts w:hint="eastAsia"/>
                <w:sz w:val="24"/>
              </w:rPr>
              <w:t>xxx</w:t>
            </w:r>
          </w:p>
        </w:tc>
        <w:tc>
          <w:tcPr>
            <w:tcW w:w="1134" w:type="dxa"/>
            <w:vAlign w:val="center"/>
          </w:tcPr>
          <w:p w:rsidR="00DC2163" w:rsidRPr="00B47B23" w:rsidRDefault="00DC2163" w:rsidP="004B1BA9">
            <w:pPr>
              <w:jc w:val="center"/>
              <w:rPr>
                <w:b/>
                <w:sz w:val="24"/>
              </w:rPr>
            </w:pPr>
            <w:r w:rsidRPr="00B47B23">
              <w:rPr>
                <w:rFonts w:hint="eastAsia"/>
                <w:b/>
                <w:sz w:val="24"/>
              </w:rPr>
              <w:t>学号</w:t>
            </w:r>
          </w:p>
        </w:tc>
        <w:tc>
          <w:tcPr>
            <w:tcW w:w="2715" w:type="dxa"/>
            <w:vAlign w:val="center"/>
          </w:tcPr>
          <w:p w:rsidR="00DC2163" w:rsidRPr="00B47B23" w:rsidRDefault="00DC2163" w:rsidP="00CC2BF8">
            <w:pPr>
              <w:jc w:val="center"/>
              <w:rPr>
                <w:sz w:val="24"/>
              </w:rPr>
            </w:pPr>
            <w:r w:rsidRPr="0072638E">
              <w:rPr>
                <w:rFonts w:hint="eastAsia"/>
                <w:sz w:val="24"/>
              </w:rPr>
              <w:t>201</w:t>
            </w:r>
            <w:r w:rsidR="00CC2BF8">
              <w:rPr>
                <w:rFonts w:hint="eastAsia"/>
                <w:sz w:val="24"/>
              </w:rPr>
              <w:t>xxxxxxx</w:t>
            </w:r>
          </w:p>
        </w:tc>
      </w:tr>
      <w:tr w:rsidR="004B1BA9" w:rsidTr="00DC2163">
        <w:trPr>
          <w:trHeight w:val="646"/>
          <w:jc w:val="center"/>
        </w:trPr>
        <w:tc>
          <w:tcPr>
            <w:tcW w:w="1271" w:type="dxa"/>
            <w:gridSpan w:val="2"/>
            <w:vAlign w:val="center"/>
          </w:tcPr>
          <w:p w:rsidR="004B1BA9" w:rsidRPr="00B47B23" w:rsidRDefault="00502A7E" w:rsidP="00502A7E">
            <w:pPr>
              <w:jc w:val="center"/>
              <w:rPr>
                <w:b/>
                <w:sz w:val="24"/>
              </w:rPr>
            </w:pPr>
            <w:r>
              <w:rPr>
                <w:rFonts w:hint="eastAsia"/>
                <w:b/>
                <w:sz w:val="24"/>
              </w:rPr>
              <w:t>实践</w:t>
            </w:r>
            <w:r w:rsidR="004B1BA9" w:rsidRPr="00B47B23">
              <w:rPr>
                <w:rFonts w:hint="eastAsia"/>
                <w:b/>
                <w:sz w:val="24"/>
              </w:rPr>
              <w:t>单位</w:t>
            </w:r>
          </w:p>
        </w:tc>
        <w:tc>
          <w:tcPr>
            <w:tcW w:w="7251" w:type="dxa"/>
            <w:gridSpan w:val="3"/>
            <w:vAlign w:val="center"/>
          </w:tcPr>
          <w:p w:rsidR="004B1BA9" w:rsidRPr="00B47B23" w:rsidRDefault="003B4644" w:rsidP="003E01FE">
            <w:pPr>
              <w:jc w:val="center"/>
              <w:rPr>
                <w:sz w:val="24"/>
              </w:rPr>
            </w:pPr>
            <w:r w:rsidRPr="003B4644">
              <w:rPr>
                <w:rFonts w:hint="eastAsia"/>
                <w:sz w:val="24"/>
              </w:rPr>
              <w:t>江苏</w:t>
            </w:r>
            <w:r w:rsidR="0003687D" w:rsidRPr="00975BC7">
              <w:rPr>
                <w:rFonts w:hint="eastAsia"/>
                <w:sz w:val="24"/>
                <w:szCs w:val="24"/>
              </w:rPr>
              <w:t>泰兴</w:t>
            </w:r>
            <w:r w:rsidRPr="003B4644">
              <w:rPr>
                <w:rFonts w:hint="eastAsia"/>
                <w:sz w:val="24"/>
              </w:rPr>
              <w:t>农村商业银行</w:t>
            </w:r>
          </w:p>
        </w:tc>
      </w:tr>
      <w:tr w:rsidR="00502A7E" w:rsidTr="00DC2163">
        <w:trPr>
          <w:trHeight w:val="616"/>
          <w:jc w:val="center"/>
        </w:trPr>
        <w:tc>
          <w:tcPr>
            <w:tcW w:w="8522" w:type="dxa"/>
            <w:gridSpan w:val="5"/>
            <w:vAlign w:val="center"/>
          </w:tcPr>
          <w:p w:rsidR="00502A7E" w:rsidRPr="00B47B23" w:rsidRDefault="00502A7E" w:rsidP="004B1BA9">
            <w:pPr>
              <w:jc w:val="center"/>
              <w:rPr>
                <w:sz w:val="24"/>
              </w:rPr>
            </w:pPr>
            <w:r>
              <w:rPr>
                <w:rFonts w:hint="eastAsia"/>
                <w:sz w:val="24"/>
              </w:rPr>
              <w:t>实践主要内容</w:t>
            </w:r>
          </w:p>
        </w:tc>
      </w:tr>
      <w:tr w:rsidR="00502A7E" w:rsidTr="00DC2163">
        <w:trPr>
          <w:trHeight w:val="5412"/>
          <w:jc w:val="center"/>
        </w:trPr>
        <w:tc>
          <w:tcPr>
            <w:tcW w:w="8522" w:type="dxa"/>
            <w:gridSpan w:val="5"/>
            <w:vAlign w:val="center"/>
          </w:tcPr>
          <w:p w:rsidR="00975BC7" w:rsidRPr="00975BC7" w:rsidRDefault="00975BC7" w:rsidP="00975BC7">
            <w:pPr>
              <w:spacing w:line="360" w:lineRule="auto"/>
              <w:ind w:firstLineChars="200" w:firstLine="480"/>
              <w:rPr>
                <w:sz w:val="24"/>
                <w:szCs w:val="24"/>
              </w:rPr>
            </w:pPr>
            <w:r w:rsidRPr="00975BC7">
              <w:rPr>
                <w:rFonts w:hint="eastAsia"/>
                <w:sz w:val="24"/>
                <w:szCs w:val="24"/>
              </w:rPr>
              <w:t>报告通过对泰兴农村商业银行经营状况的财务分析和贷款信用风险的深入分析，概括出泰兴农村商业银行的发展现状及信贷风险管理中仍存在的问题。</w:t>
            </w:r>
          </w:p>
          <w:p w:rsidR="00502A7E" w:rsidRPr="0072638E" w:rsidRDefault="00975BC7" w:rsidP="00975BC7">
            <w:pPr>
              <w:spacing w:line="360" w:lineRule="auto"/>
              <w:ind w:firstLineChars="200" w:firstLine="480"/>
              <w:rPr>
                <w:sz w:val="24"/>
                <w:szCs w:val="24"/>
              </w:rPr>
            </w:pPr>
            <w:r w:rsidRPr="00975BC7">
              <w:rPr>
                <w:rFonts w:hint="eastAsia"/>
                <w:sz w:val="24"/>
                <w:szCs w:val="24"/>
              </w:rPr>
              <w:t>实践表明：当前泰兴农商行信贷风险管理仍存在问题，主要原因是信贷人员素质偏低且参差不齐；内部控制不完善；对不良贷款的管理不力；信贷管理薄弱，对关注类贷款的管理缺乏精细化管理；服务对象单一；存在信息不对称；量化信用风险的方法模型粗放。并据此提出切合泰兴农商行现状的可行的政策建议。</w:t>
            </w:r>
          </w:p>
        </w:tc>
      </w:tr>
      <w:tr w:rsidR="00DC2163" w:rsidTr="00DC2163">
        <w:trPr>
          <w:trHeight w:val="2655"/>
          <w:jc w:val="center"/>
        </w:trPr>
        <w:tc>
          <w:tcPr>
            <w:tcW w:w="846" w:type="dxa"/>
            <w:vAlign w:val="center"/>
          </w:tcPr>
          <w:p w:rsidR="00DC2163" w:rsidRPr="000C3020" w:rsidRDefault="00DC2163" w:rsidP="00DC2163">
            <w:pPr>
              <w:jc w:val="center"/>
              <w:rPr>
                <w:b/>
                <w:sz w:val="24"/>
              </w:rPr>
            </w:pPr>
            <w:r w:rsidRPr="000C3020">
              <w:rPr>
                <w:rFonts w:hint="eastAsia"/>
                <w:b/>
                <w:sz w:val="24"/>
              </w:rPr>
              <w:t>MBA</w:t>
            </w:r>
          </w:p>
          <w:p w:rsidR="00DC2163" w:rsidRPr="000C3020" w:rsidRDefault="00DC2163" w:rsidP="00DC2163">
            <w:pPr>
              <w:jc w:val="center"/>
              <w:rPr>
                <w:b/>
                <w:sz w:val="24"/>
              </w:rPr>
            </w:pPr>
            <w:r w:rsidRPr="000C3020">
              <w:rPr>
                <w:rFonts w:hint="eastAsia"/>
                <w:b/>
                <w:sz w:val="24"/>
              </w:rPr>
              <w:t>实践考核小组</w:t>
            </w:r>
          </w:p>
          <w:p w:rsidR="00DC2163" w:rsidRPr="000C3020" w:rsidRDefault="00DC2163" w:rsidP="00DC2163">
            <w:pPr>
              <w:jc w:val="center"/>
              <w:rPr>
                <w:b/>
                <w:sz w:val="24"/>
              </w:rPr>
            </w:pPr>
            <w:r w:rsidRPr="000C3020">
              <w:rPr>
                <w:rFonts w:hint="eastAsia"/>
                <w:b/>
                <w:sz w:val="24"/>
              </w:rPr>
              <w:t>意见</w:t>
            </w:r>
          </w:p>
        </w:tc>
        <w:tc>
          <w:tcPr>
            <w:tcW w:w="7676" w:type="dxa"/>
            <w:gridSpan w:val="4"/>
            <w:vAlign w:val="center"/>
          </w:tcPr>
          <w:p w:rsidR="00DC2163" w:rsidRPr="00B47B23" w:rsidRDefault="00DC2163" w:rsidP="00DC2163">
            <w:pPr>
              <w:jc w:val="center"/>
              <w:rPr>
                <w:b/>
                <w:sz w:val="24"/>
              </w:rPr>
            </w:pPr>
          </w:p>
          <w:p w:rsidR="00DC2163" w:rsidRPr="00B47B23" w:rsidRDefault="00DC2163" w:rsidP="00DC2163">
            <w:pPr>
              <w:jc w:val="left"/>
              <w:rPr>
                <w:b/>
                <w:sz w:val="24"/>
              </w:rPr>
            </w:pPr>
          </w:p>
          <w:p w:rsidR="00DC2163" w:rsidRDefault="00DC2163" w:rsidP="00DC2163">
            <w:pPr>
              <w:jc w:val="center"/>
              <w:rPr>
                <w:sz w:val="24"/>
              </w:rPr>
            </w:pPr>
          </w:p>
          <w:p w:rsidR="00371D1E" w:rsidRPr="00371D1E" w:rsidRDefault="00371D1E" w:rsidP="00DC2163">
            <w:pPr>
              <w:jc w:val="center"/>
              <w:rPr>
                <w:b/>
                <w:sz w:val="24"/>
              </w:rPr>
            </w:pPr>
          </w:p>
          <w:p w:rsidR="00DC2163" w:rsidRDefault="00DC2163" w:rsidP="00DC2163">
            <w:pPr>
              <w:jc w:val="center"/>
              <w:rPr>
                <w:b/>
                <w:sz w:val="24"/>
              </w:rPr>
            </w:pPr>
          </w:p>
          <w:p w:rsidR="00DC2163" w:rsidRDefault="00DC2163" w:rsidP="00DC2163">
            <w:pPr>
              <w:jc w:val="center"/>
              <w:rPr>
                <w:b/>
                <w:sz w:val="24"/>
              </w:rPr>
            </w:pPr>
          </w:p>
          <w:p w:rsidR="00DC2163" w:rsidRDefault="00DC2163" w:rsidP="00DC2163">
            <w:pPr>
              <w:jc w:val="center"/>
              <w:rPr>
                <w:b/>
                <w:sz w:val="24"/>
              </w:rPr>
            </w:pPr>
          </w:p>
          <w:p w:rsidR="00DC2163" w:rsidRDefault="00DC2163" w:rsidP="00DC2163">
            <w:pPr>
              <w:jc w:val="center"/>
              <w:rPr>
                <w:b/>
                <w:sz w:val="24"/>
              </w:rPr>
            </w:pPr>
          </w:p>
          <w:p w:rsidR="00DC2163" w:rsidRDefault="00DC2163" w:rsidP="00DC2163">
            <w:pPr>
              <w:jc w:val="center"/>
              <w:rPr>
                <w:b/>
                <w:sz w:val="24"/>
              </w:rPr>
            </w:pPr>
          </w:p>
          <w:p w:rsidR="00DC2163" w:rsidRPr="00B47B23" w:rsidRDefault="00DC2163" w:rsidP="00DC2163">
            <w:pPr>
              <w:jc w:val="center"/>
              <w:rPr>
                <w:b/>
                <w:sz w:val="24"/>
              </w:rPr>
            </w:pPr>
          </w:p>
          <w:p w:rsidR="00DC2163" w:rsidRPr="000C3020" w:rsidRDefault="00DC2163" w:rsidP="00DC2163">
            <w:pPr>
              <w:rPr>
                <w:b/>
                <w:sz w:val="24"/>
              </w:rPr>
            </w:pPr>
            <w:r w:rsidRPr="000C3020">
              <w:rPr>
                <w:rFonts w:hint="eastAsia"/>
                <w:b/>
                <w:sz w:val="24"/>
              </w:rPr>
              <w:t>成绩：</w:t>
            </w:r>
            <w:r w:rsidRPr="000C3020">
              <w:rPr>
                <w:rFonts w:hint="eastAsia"/>
                <w:b/>
                <w:sz w:val="24"/>
                <w:u w:val="single"/>
              </w:rPr>
              <w:t>（</w:t>
            </w:r>
            <w:r w:rsidRPr="000C3020">
              <w:rPr>
                <w:rFonts w:hint="eastAsia"/>
                <w:b/>
                <w:sz w:val="24"/>
              </w:rPr>
              <w:t>优、良、中、合格）</w:t>
            </w:r>
          </w:p>
          <w:p w:rsidR="00DC2163" w:rsidRPr="000C3020" w:rsidRDefault="00DC2163" w:rsidP="00575B45">
            <w:pPr>
              <w:spacing w:afterLines="100"/>
              <w:rPr>
                <w:b/>
                <w:sz w:val="24"/>
              </w:rPr>
            </w:pPr>
            <w:r w:rsidRPr="000C3020">
              <w:rPr>
                <w:rFonts w:hint="eastAsia"/>
                <w:b/>
                <w:sz w:val="24"/>
              </w:rPr>
              <w:t>考核小组成员签字：</w:t>
            </w:r>
          </w:p>
          <w:p w:rsidR="00DC2163" w:rsidRPr="000C3020" w:rsidRDefault="00DC2163" w:rsidP="00575B45">
            <w:pPr>
              <w:spacing w:afterLines="100"/>
              <w:rPr>
                <w:b/>
                <w:sz w:val="24"/>
              </w:rPr>
            </w:pPr>
          </w:p>
          <w:p w:rsidR="00DC2163" w:rsidRPr="00B47B23" w:rsidRDefault="00DC2163" w:rsidP="00575B45">
            <w:pPr>
              <w:spacing w:afterLines="50"/>
              <w:ind w:firstLineChars="1750" w:firstLine="4216"/>
              <w:jc w:val="center"/>
              <w:rPr>
                <w:b/>
                <w:sz w:val="24"/>
              </w:rPr>
            </w:pPr>
            <w:r w:rsidRPr="000C3020">
              <w:rPr>
                <w:rFonts w:hint="eastAsia"/>
                <w:b/>
                <w:sz w:val="24"/>
              </w:rPr>
              <w:t>年月日</w:t>
            </w:r>
          </w:p>
        </w:tc>
      </w:tr>
    </w:tbl>
    <w:p w:rsidR="004B1BA9" w:rsidRPr="007A77F2" w:rsidRDefault="004B1BA9" w:rsidP="004E734B">
      <w:pPr>
        <w:pStyle w:val="reader-word-layer"/>
        <w:shd w:val="clear" w:color="auto" w:fill="FFFFFF"/>
        <w:spacing w:before="0" w:beforeAutospacing="0" w:after="0" w:afterAutospacing="0" w:line="240" w:lineRule="atLeast"/>
      </w:pPr>
    </w:p>
    <w:sectPr w:rsidR="004B1BA9" w:rsidRPr="007A77F2" w:rsidSect="00EB3D21">
      <w:headerReference w:type="even" r:id="rId10"/>
      <w:head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9D1" w:rsidRDefault="00F869D1" w:rsidP="004B1BA9">
      <w:r>
        <w:separator/>
      </w:r>
    </w:p>
  </w:endnote>
  <w:endnote w:type="continuationSeparator" w:id="0">
    <w:p w:rsidR="00F869D1" w:rsidRDefault="00F869D1" w:rsidP="004B1B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9D1" w:rsidRDefault="00F869D1" w:rsidP="004B1BA9">
      <w:r>
        <w:separator/>
      </w:r>
    </w:p>
  </w:footnote>
  <w:footnote w:type="continuationSeparator" w:id="0">
    <w:p w:rsidR="00F869D1" w:rsidRDefault="00F869D1" w:rsidP="004B1B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B7" w:rsidRDefault="00D002B7">
    <w:pPr>
      <w:pStyle w:val="a4"/>
    </w:pPr>
    <w:r>
      <w:rPr>
        <w:rFonts w:hint="eastAsia"/>
      </w:rPr>
      <w:t>农业技术培训方式与农户化学投入品使用行为研究</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2B7" w:rsidRDefault="00D002B7" w:rsidP="00523589">
    <w:pPr>
      <w:pStyle w:val="a4"/>
      <w:pBdr>
        <w:bottom w:val="none" w:sz="0" w:space="0" w:color="auto"/>
      </w:pBdr>
      <w:jc w:val="both"/>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2EE22B"/>
    <w:multiLevelType w:val="singleLevel"/>
    <w:tmpl w:val="532EE22B"/>
    <w:lvl w:ilvl="0">
      <w:start w:val="1"/>
      <w:numFmt w:val="chineseCounting"/>
      <w:suff w:val="nothing"/>
      <w:lvlText w:val="（%1）"/>
      <w:lvlJc w:val="left"/>
      <w:pPr>
        <w:ind w:left="0" w:firstLine="0"/>
      </w:pPr>
    </w:lvl>
  </w:abstractNum>
  <w:abstractNum w:abstractNumId="1">
    <w:nsid w:val="5A6524F6"/>
    <w:multiLevelType w:val="hybridMultilevel"/>
    <w:tmpl w:val="477A612E"/>
    <w:lvl w:ilvl="0" w:tplc="073CE832">
      <w:start w:val="2"/>
      <w:numFmt w:val="japaneseCounting"/>
      <w:lvlText w:val="%1、"/>
      <w:lvlJc w:val="left"/>
      <w:pPr>
        <w:tabs>
          <w:tab w:val="num" w:pos="960"/>
        </w:tabs>
        <w:ind w:left="960" w:hanging="480"/>
      </w:pPr>
      <w:rPr>
        <w:rFonts w:hint="default"/>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
    <w:nsid w:val="6DE00A45"/>
    <w:multiLevelType w:val="hybridMultilevel"/>
    <w:tmpl w:val="10F4AA36"/>
    <w:lvl w:ilvl="0" w:tplc="49B6299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6E7E36F3"/>
    <w:multiLevelType w:val="hybridMultilevel"/>
    <w:tmpl w:val="6CD6EEE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798D75F2"/>
    <w:multiLevelType w:val="hybridMultilevel"/>
    <w:tmpl w:val="275A10B6"/>
    <w:lvl w:ilvl="0" w:tplc="2A1E4D02">
      <w:start w:val="1"/>
      <w:numFmt w:val="decimal"/>
      <w:lvlText w:val="[%1]"/>
      <w:lvlJc w:val="left"/>
      <w:pPr>
        <w:tabs>
          <w:tab w:val="num" w:pos="477"/>
        </w:tabs>
        <w:ind w:left="477" w:hanging="420"/>
      </w:pPr>
    </w:lvl>
    <w:lvl w:ilvl="1" w:tplc="04090019">
      <w:start w:val="1"/>
      <w:numFmt w:val="lowerLetter"/>
      <w:lvlText w:val="%2)"/>
      <w:lvlJc w:val="left"/>
      <w:pPr>
        <w:tabs>
          <w:tab w:val="num" w:pos="897"/>
        </w:tabs>
        <w:ind w:left="897" w:hanging="420"/>
      </w:pPr>
    </w:lvl>
    <w:lvl w:ilvl="2" w:tplc="0409001B">
      <w:start w:val="1"/>
      <w:numFmt w:val="lowerRoman"/>
      <w:lvlText w:val="%3."/>
      <w:lvlJc w:val="right"/>
      <w:pPr>
        <w:tabs>
          <w:tab w:val="num" w:pos="1317"/>
        </w:tabs>
        <w:ind w:left="1317" w:hanging="420"/>
      </w:pPr>
    </w:lvl>
    <w:lvl w:ilvl="3" w:tplc="0409000F">
      <w:start w:val="1"/>
      <w:numFmt w:val="decimal"/>
      <w:lvlText w:val="%4."/>
      <w:lvlJc w:val="left"/>
      <w:pPr>
        <w:tabs>
          <w:tab w:val="num" w:pos="1737"/>
        </w:tabs>
        <w:ind w:left="1737" w:hanging="420"/>
      </w:pPr>
    </w:lvl>
    <w:lvl w:ilvl="4" w:tplc="04090019">
      <w:start w:val="1"/>
      <w:numFmt w:val="lowerLetter"/>
      <w:lvlText w:val="%5)"/>
      <w:lvlJc w:val="left"/>
      <w:pPr>
        <w:tabs>
          <w:tab w:val="num" w:pos="2157"/>
        </w:tabs>
        <w:ind w:left="2157" w:hanging="420"/>
      </w:pPr>
    </w:lvl>
    <w:lvl w:ilvl="5" w:tplc="0409001B">
      <w:start w:val="1"/>
      <w:numFmt w:val="lowerRoman"/>
      <w:lvlText w:val="%6."/>
      <w:lvlJc w:val="right"/>
      <w:pPr>
        <w:tabs>
          <w:tab w:val="num" w:pos="2577"/>
        </w:tabs>
        <w:ind w:left="2577" w:hanging="420"/>
      </w:pPr>
    </w:lvl>
    <w:lvl w:ilvl="6" w:tplc="0409000F">
      <w:start w:val="1"/>
      <w:numFmt w:val="decimal"/>
      <w:lvlText w:val="%7."/>
      <w:lvlJc w:val="left"/>
      <w:pPr>
        <w:tabs>
          <w:tab w:val="num" w:pos="2997"/>
        </w:tabs>
        <w:ind w:left="2997" w:hanging="420"/>
      </w:pPr>
    </w:lvl>
    <w:lvl w:ilvl="7" w:tplc="04090019">
      <w:start w:val="1"/>
      <w:numFmt w:val="lowerLetter"/>
      <w:lvlText w:val="%8)"/>
      <w:lvlJc w:val="left"/>
      <w:pPr>
        <w:tabs>
          <w:tab w:val="num" w:pos="3417"/>
        </w:tabs>
        <w:ind w:left="3417" w:hanging="420"/>
      </w:pPr>
    </w:lvl>
    <w:lvl w:ilvl="8" w:tplc="0409001B">
      <w:start w:val="1"/>
      <w:numFmt w:val="lowerRoman"/>
      <w:lvlText w:val="%9."/>
      <w:lvlJc w:val="right"/>
      <w:pPr>
        <w:tabs>
          <w:tab w:val="num" w:pos="3837"/>
        </w:tabs>
        <w:ind w:left="3837" w:hanging="420"/>
      </w:pPr>
    </w:lvl>
  </w:abstractNum>
  <w:num w:numId="1">
    <w:abstractNumId w:val="2"/>
  </w:num>
  <w:num w:numId="2">
    <w:abstractNumId w:val="3"/>
  </w:num>
  <w:num w:numId="3">
    <w:abstractNumId w:val="0"/>
    <w:lvlOverride w:ilvl="0">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A77F2"/>
    <w:rsid w:val="00011580"/>
    <w:rsid w:val="000141C6"/>
    <w:rsid w:val="00027E21"/>
    <w:rsid w:val="00033672"/>
    <w:rsid w:val="00034635"/>
    <w:rsid w:val="0003687D"/>
    <w:rsid w:val="0004772E"/>
    <w:rsid w:val="0005672A"/>
    <w:rsid w:val="000A0522"/>
    <w:rsid w:val="000A676B"/>
    <w:rsid w:val="000A7DD5"/>
    <w:rsid w:val="000B28FB"/>
    <w:rsid w:val="000B5086"/>
    <w:rsid w:val="000C4827"/>
    <w:rsid w:val="000C521E"/>
    <w:rsid w:val="000E1FF0"/>
    <w:rsid w:val="00111BE7"/>
    <w:rsid w:val="00121175"/>
    <w:rsid w:val="00153501"/>
    <w:rsid w:val="00174DA1"/>
    <w:rsid w:val="00177712"/>
    <w:rsid w:val="00180DDD"/>
    <w:rsid w:val="001B0DE4"/>
    <w:rsid w:val="001C1931"/>
    <w:rsid w:val="001C5671"/>
    <w:rsid w:val="00224E9F"/>
    <w:rsid w:val="002A68DB"/>
    <w:rsid w:val="002C4468"/>
    <w:rsid w:val="002D0FD1"/>
    <w:rsid w:val="002D27A9"/>
    <w:rsid w:val="002E23D3"/>
    <w:rsid w:val="002E7CF2"/>
    <w:rsid w:val="00312EAA"/>
    <w:rsid w:val="00337E32"/>
    <w:rsid w:val="00371D1E"/>
    <w:rsid w:val="00381436"/>
    <w:rsid w:val="003A3625"/>
    <w:rsid w:val="003B4644"/>
    <w:rsid w:val="003B5124"/>
    <w:rsid w:val="003C0045"/>
    <w:rsid w:val="003D36FC"/>
    <w:rsid w:val="003E01FE"/>
    <w:rsid w:val="003E4717"/>
    <w:rsid w:val="003F63EA"/>
    <w:rsid w:val="00413796"/>
    <w:rsid w:val="004242EC"/>
    <w:rsid w:val="0043401F"/>
    <w:rsid w:val="00453F11"/>
    <w:rsid w:val="004673B9"/>
    <w:rsid w:val="00480A2B"/>
    <w:rsid w:val="004A215C"/>
    <w:rsid w:val="004B1BA9"/>
    <w:rsid w:val="004B6971"/>
    <w:rsid w:val="004E734B"/>
    <w:rsid w:val="00502A7E"/>
    <w:rsid w:val="00510329"/>
    <w:rsid w:val="0051567B"/>
    <w:rsid w:val="0052162E"/>
    <w:rsid w:val="00523589"/>
    <w:rsid w:val="005326E1"/>
    <w:rsid w:val="00575B45"/>
    <w:rsid w:val="00592DCF"/>
    <w:rsid w:val="005E2894"/>
    <w:rsid w:val="005E4BEC"/>
    <w:rsid w:val="005E654D"/>
    <w:rsid w:val="005F688F"/>
    <w:rsid w:val="0060208D"/>
    <w:rsid w:val="006027A7"/>
    <w:rsid w:val="006303F4"/>
    <w:rsid w:val="006469D6"/>
    <w:rsid w:val="006611E4"/>
    <w:rsid w:val="0066151D"/>
    <w:rsid w:val="00674B79"/>
    <w:rsid w:val="00686991"/>
    <w:rsid w:val="006C7AE6"/>
    <w:rsid w:val="006D57BF"/>
    <w:rsid w:val="006D6DB2"/>
    <w:rsid w:val="006F4B4B"/>
    <w:rsid w:val="006F7F98"/>
    <w:rsid w:val="007013D5"/>
    <w:rsid w:val="007242EC"/>
    <w:rsid w:val="0072638E"/>
    <w:rsid w:val="00730CB5"/>
    <w:rsid w:val="00775D05"/>
    <w:rsid w:val="0079120D"/>
    <w:rsid w:val="007A77F2"/>
    <w:rsid w:val="007C2972"/>
    <w:rsid w:val="00801EC1"/>
    <w:rsid w:val="00814BDC"/>
    <w:rsid w:val="00816932"/>
    <w:rsid w:val="00822EBD"/>
    <w:rsid w:val="008345CF"/>
    <w:rsid w:val="00870F80"/>
    <w:rsid w:val="008E617A"/>
    <w:rsid w:val="00917DD1"/>
    <w:rsid w:val="00932190"/>
    <w:rsid w:val="009421C3"/>
    <w:rsid w:val="009554AF"/>
    <w:rsid w:val="009644F8"/>
    <w:rsid w:val="0097463C"/>
    <w:rsid w:val="00975BC7"/>
    <w:rsid w:val="0097788E"/>
    <w:rsid w:val="009836DC"/>
    <w:rsid w:val="0099279F"/>
    <w:rsid w:val="009C68B1"/>
    <w:rsid w:val="009C7420"/>
    <w:rsid w:val="009D1296"/>
    <w:rsid w:val="009D69A6"/>
    <w:rsid w:val="009D78C5"/>
    <w:rsid w:val="009E443D"/>
    <w:rsid w:val="009E4CBD"/>
    <w:rsid w:val="009E757A"/>
    <w:rsid w:val="00A04450"/>
    <w:rsid w:val="00A11340"/>
    <w:rsid w:val="00A15ACC"/>
    <w:rsid w:val="00A226B9"/>
    <w:rsid w:val="00A32F32"/>
    <w:rsid w:val="00A36793"/>
    <w:rsid w:val="00A47553"/>
    <w:rsid w:val="00A5293F"/>
    <w:rsid w:val="00A56151"/>
    <w:rsid w:val="00A930D4"/>
    <w:rsid w:val="00AC1989"/>
    <w:rsid w:val="00AD5189"/>
    <w:rsid w:val="00B14158"/>
    <w:rsid w:val="00B16C1F"/>
    <w:rsid w:val="00B21A85"/>
    <w:rsid w:val="00B44D82"/>
    <w:rsid w:val="00B603E5"/>
    <w:rsid w:val="00B820C8"/>
    <w:rsid w:val="00B8491F"/>
    <w:rsid w:val="00B92F89"/>
    <w:rsid w:val="00BB4A7B"/>
    <w:rsid w:val="00BC093C"/>
    <w:rsid w:val="00BC2A1E"/>
    <w:rsid w:val="00BD2045"/>
    <w:rsid w:val="00BD7006"/>
    <w:rsid w:val="00BE2604"/>
    <w:rsid w:val="00BF2308"/>
    <w:rsid w:val="00BF29E7"/>
    <w:rsid w:val="00C0336A"/>
    <w:rsid w:val="00C077D3"/>
    <w:rsid w:val="00C178D5"/>
    <w:rsid w:val="00C17A8E"/>
    <w:rsid w:val="00C27CD3"/>
    <w:rsid w:val="00C32995"/>
    <w:rsid w:val="00C52207"/>
    <w:rsid w:val="00C65222"/>
    <w:rsid w:val="00C70193"/>
    <w:rsid w:val="00C71D5D"/>
    <w:rsid w:val="00C8371C"/>
    <w:rsid w:val="00CC2BF8"/>
    <w:rsid w:val="00D002B7"/>
    <w:rsid w:val="00D06553"/>
    <w:rsid w:val="00D0716A"/>
    <w:rsid w:val="00D41CD1"/>
    <w:rsid w:val="00D43FC8"/>
    <w:rsid w:val="00D464E5"/>
    <w:rsid w:val="00D545BC"/>
    <w:rsid w:val="00D70A14"/>
    <w:rsid w:val="00D70ECD"/>
    <w:rsid w:val="00DA0D84"/>
    <w:rsid w:val="00DA5DE6"/>
    <w:rsid w:val="00DC2163"/>
    <w:rsid w:val="00DD1290"/>
    <w:rsid w:val="00DE7170"/>
    <w:rsid w:val="00DE7E07"/>
    <w:rsid w:val="00E0124D"/>
    <w:rsid w:val="00E01378"/>
    <w:rsid w:val="00E02F3E"/>
    <w:rsid w:val="00E15D4F"/>
    <w:rsid w:val="00E32616"/>
    <w:rsid w:val="00E46918"/>
    <w:rsid w:val="00E55667"/>
    <w:rsid w:val="00E76C87"/>
    <w:rsid w:val="00E8559A"/>
    <w:rsid w:val="00E92CF0"/>
    <w:rsid w:val="00E954C6"/>
    <w:rsid w:val="00E975D8"/>
    <w:rsid w:val="00EB1E0C"/>
    <w:rsid w:val="00EB3D21"/>
    <w:rsid w:val="00EE69C3"/>
    <w:rsid w:val="00F37957"/>
    <w:rsid w:val="00F43DEB"/>
    <w:rsid w:val="00F46485"/>
    <w:rsid w:val="00F848E7"/>
    <w:rsid w:val="00F869D1"/>
    <w:rsid w:val="00F86D17"/>
    <w:rsid w:val="00F95BF4"/>
    <w:rsid w:val="00FA1F0C"/>
    <w:rsid w:val="00FA1F0F"/>
    <w:rsid w:val="00FA4E96"/>
    <w:rsid w:val="00FB063E"/>
    <w:rsid w:val="00FB45D5"/>
    <w:rsid w:val="00FD1667"/>
    <w:rsid w:val="00FE22A9"/>
    <w:rsid w:val="00FF01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3D21"/>
    <w:pPr>
      <w:widowControl w:val="0"/>
      <w:jc w:val="both"/>
    </w:pPr>
  </w:style>
  <w:style w:type="paragraph" w:styleId="1">
    <w:name w:val="heading 1"/>
    <w:basedOn w:val="a"/>
    <w:next w:val="a"/>
    <w:link w:val="1Char"/>
    <w:uiPriority w:val="9"/>
    <w:qFormat/>
    <w:rsid w:val="003B4644"/>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E76C87"/>
    <w:pPr>
      <w:keepNext/>
      <w:keepLines/>
      <w:spacing w:before="120" w:after="240" w:line="400" w:lineRule="exact"/>
      <w:outlineLvl w:val="1"/>
    </w:pPr>
    <w:rPr>
      <w:rFonts w:ascii="Times New Roman" w:eastAsia="黑体" w:hAnsi="Times New Roman" w:cs="Times New Roman"/>
      <w:bCs/>
      <w:sz w:val="30"/>
      <w:szCs w:val="32"/>
    </w:rPr>
  </w:style>
  <w:style w:type="paragraph" w:styleId="3">
    <w:name w:val="heading 3"/>
    <w:basedOn w:val="a"/>
    <w:next w:val="a"/>
    <w:link w:val="3Char"/>
    <w:uiPriority w:val="9"/>
    <w:semiHidden/>
    <w:unhideWhenUsed/>
    <w:qFormat/>
    <w:rsid w:val="006469D6"/>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ader-word-layer">
    <w:name w:val="reader-word-layer"/>
    <w:basedOn w:val="a"/>
    <w:rsid w:val="007A77F2"/>
    <w:pPr>
      <w:widowControl/>
      <w:spacing w:before="100" w:beforeAutospacing="1" w:after="100" w:afterAutospacing="1"/>
      <w:jc w:val="left"/>
    </w:pPr>
    <w:rPr>
      <w:rFonts w:ascii="宋体" w:eastAsia="宋体" w:hAnsi="宋体" w:cs="宋体"/>
      <w:kern w:val="0"/>
      <w:sz w:val="24"/>
      <w:szCs w:val="24"/>
    </w:rPr>
  </w:style>
  <w:style w:type="paragraph" w:styleId="a3">
    <w:name w:val="Document Map"/>
    <w:basedOn w:val="a"/>
    <w:link w:val="Char"/>
    <w:uiPriority w:val="99"/>
    <w:semiHidden/>
    <w:unhideWhenUsed/>
    <w:rsid w:val="004B1BA9"/>
    <w:rPr>
      <w:rFonts w:ascii="宋体" w:eastAsia="宋体"/>
      <w:sz w:val="18"/>
      <w:szCs w:val="18"/>
    </w:rPr>
  </w:style>
  <w:style w:type="character" w:customStyle="1" w:styleId="Char">
    <w:name w:val="文档结构图 Char"/>
    <w:basedOn w:val="a0"/>
    <w:link w:val="a3"/>
    <w:uiPriority w:val="99"/>
    <w:semiHidden/>
    <w:rsid w:val="004B1BA9"/>
    <w:rPr>
      <w:rFonts w:ascii="宋体" w:eastAsia="宋体"/>
      <w:sz w:val="18"/>
      <w:szCs w:val="18"/>
    </w:rPr>
  </w:style>
  <w:style w:type="paragraph" w:styleId="a4">
    <w:name w:val="header"/>
    <w:basedOn w:val="a"/>
    <w:link w:val="Char0"/>
    <w:uiPriority w:val="99"/>
    <w:unhideWhenUsed/>
    <w:rsid w:val="004B1BA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B1BA9"/>
    <w:rPr>
      <w:sz w:val="18"/>
      <w:szCs w:val="18"/>
    </w:rPr>
  </w:style>
  <w:style w:type="paragraph" w:styleId="a5">
    <w:name w:val="footer"/>
    <w:basedOn w:val="a"/>
    <w:link w:val="Char1"/>
    <w:uiPriority w:val="99"/>
    <w:unhideWhenUsed/>
    <w:rsid w:val="004B1BA9"/>
    <w:pPr>
      <w:tabs>
        <w:tab w:val="center" w:pos="4153"/>
        <w:tab w:val="right" w:pos="8306"/>
      </w:tabs>
      <w:snapToGrid w:val="0"/>
      <w:jc w:val="left"/>
    </w:pPr>
    <w:rPr>
      <w:sz w:val="18"/>
      <w:szCs w:val="18"/>
    </w:rPr>
  </w:style>
  <w:style w:type="character" w:customStyle="1" w:styleId="Char1">
    <w:name w:val="页脚 Char"/>
    <w:basedOn w:val="a0"/>
    <w:link w:val="a5"/>
    <w:uiPriority w:val="99"/>
    <w:rsid w:val="004B1BA9"/>
    <w:rPr>
      <w:sz w:val="18"/>
      <w:szCs w:val="18"/>
    </w:rPr>
  </w:style>
  <w:style w:type="paragraph" w:styleId="a6">
    <w:name w:val="Normal (Web)"/>
    <w:basedOn w:val="a"/>
    <w:unhideWhenUsed/>
    <w:rsid w:val="004B1BA9"/>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Char2"/>
    <w:uiPriority w:val="99"/>
    <w:semiHidden/>
    <w:unhideWhenUsed/>
    <w:rsid w:val="00E46918"/>
    <w:rPr>
      <w:sz w:val="18"/>
      <w:szCs w:val="18"/>
    </w:rPr>
  </w:style>
  <w:style w:type="character" w:customStyle="1" w:styleId="Char2">
    <w:name w:val="批注框文本 Char"/>
    <w:basedOn w:val="a0"/>
    <w:link w:val="a7"/>
    <w:uiPriority w:val="99"/>
    <w:semiHidden/>
    <w:rsid w:val="00E46918"/>
    <w:rPr>
      <w:sz w:val="18"/>
      <w:szCs w:val="18"/>
    </w:rPr>
  </w:style>
  <w:style w:type="character" w:styleId="a8">
    <w:name w:val="Hyperlink"/>
    <w:basedOn w:val="a0"/>
    <w:uiPriority w:val="99"/>
    <w:unhideWhenUsed/>
    <w:rsid w:val="00801EC1"/>
    <w:rPr>
      <w:color w:val="2153B0"/>
      <w:u w:val="none"/>
    </w:rPr>
  </w:style>
  <w:style w:type="table" w:styleId="10">
    <w:name w:val="Table Simple 1"/>
    <w:basedOn w:val="a1"/>
    <w:uiPriority w:val="99"/>
    <w:semiHidden/>
    <w:unhideWhenUsed/>
    <w:rsid w:val="00801EC1"/>
    <w:pPr>
      <w:widowControl w:val="0"/>
      <w:jc w:val="both"/>
    </w:pPr>
    <w:rPr>
      <w:rFonts w:ascii="Times New Roman" w:eastAsia="宋体" w:hAnsi="Times New Roman" w:cs="Times New Roman"/>
      <w:kern w:val="0"/>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a9">
    <w:name w:val="表标题"/>
    <w:basedOn w:val="a"/>
    <w:rsid w:val="00801EC1"/>
    <w:pPr>
      <w:spacing w:beforeLines="50"/>
      <w:jc w:val="center"/>
    </w:pPr>
    <w:rPr>
      <w:rFonts w:ascii="Times New Roman" w:eastAsia="黑体" w:hAnsi="Times New Roman" w:cs="Times New Roman"/>
      <w:szCs w:val="21"/>
    </w:rPr>
  </w:style>
  <w:style w:type="character" w:customStyle="1" w:styleId="2Char">
    <w:name w:val="标题 2 Char"/>
    <w:basedOn w:val="a0"/>
    <w:link w:val="2"/>
    <w:rsid w:val="00E76C87"/>
    <w:rPr>
      <w:rFonts w:ascii="Times New Roman" w:eastAsia="黑体" w:hAnsi="Times New Roman" w:cs="Times New Roman"/>
      <w:bCs/>
      <w:sz w:val="30"/>
      <w:szCs w:val="32"/>
    </w:rPr>
  </w:style>
  <w:style w:type="character" w:customStyle="1" w:styleId="3Char">
    <w:name w:val="标题 3 Char"/>
    <w:basedOn w:val="a0"/>
    <w:link w:val="3"/>
    <w:uiPriority w:val="9"/>
    <w:semiHidden/>
    <w:rsid w:val="006469D6"/>
    <w:rPr>
      <w:b/>
      <w:bCs/>
      <w:sz w:val="32"/>
      <w:szCs w:val="32"/>
    </w:rPr>
  </w:style>
  <w:style w:type="paragraph" w:styleId="aa">
    <w:name w:val="List Paragraph"/>
    <w:basedOn w:val="a"/>
    <w:uiPriority w:val="34"/>
    <w:qFormat/>
    <w:rsid w:val="005E4BEC"/>
    <w:pPr>
      <w:ind w:firstLineChars="200" w:firstLine="420"/>
    </w:pPr>
  </w:style>
  <w:style w:type="paragraph" w:customStyle="1" w:styleId="p16">
    <w:name w:val="p16"/>
    <w:basedOn w:val="a"/>
    <w:rsid w:val="005E4BEC"/>
    <w:pPr>
      <w:widowControl/>
    </w:pPr>
    <w:rPr>
      <w:rFonts w:ascii="Calibri" w:eastAsia="宋体" w:hAnsi="Calibri" w:cs="宋体"/>
      <w:kern w:val="0"/>
      <w:szCs w:val="21"/>
    </w:rPr>
  </w:style>
  <w:style w:type="character" w:customStyle="1" w:styleId="1Char">
    <w:name w:val="标题 1 Char"/>
    <w:basedOn w:val="a0"/>
    <w:link w:val="1"/>
    <w:rsid w:val="003B4644"/>
    <w:rPr>
      <w:b/>
      <w:bCs/>
      <w:kern w:val="44"/>
      <w:sz w:val="44"/>
      <w:szCs w:val="44"/>
    </w:rPr>
  </w:style>
  <w:style w:type="character" w:styleId="ab">
    <w:name w:val="Strong"/>
    <w:qFormat/>
    <w:rsid w:val="00FF011B"/>
    <w:rPr>
      <w:rFonts w:cs="Times New Roman"/>
      <w:b/>
      <w:bCs/>
    </w:rPr>
  </w:style>
  <w:style w:type="paragraph" w:customStyle="1" w:styleId="11">
    <w:name w:val="列出段落1"/>
    <w:basedOn w:val="a"/>
    <w:rsid w:val="00674B79"/>
    <w:pPr>
      <w:spacing w:line="400" w:lineRule="atLeast"/>
      <w:ind w:firstLineChars="200" w:firstLine="420"/>
    </w:pPr>
    <w:rPr>
      <w:rFonts w:ascii="Times New Roman" w:eastAsia="宋体"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70010147">
      <w:bodyDiv w:val="1"/>
      <w:marLeft w:val="0"/>
      <w:marRight w:val="0"/>
      <w:marTop w:val="0"/>
      <w:marBottom w:val="0"/>
      <w:divBdr>
        <w:top w:val="none" w:sz="0" w:space="0" w:color="auto"/>
        <w:left w:val="none" w:sz="0" w:space="0" w:color="auto"/>
        <w:bottom w:val="none" w:sz="0" w:space="0" w:color="auto"/>
        <w:right w:val="none" w:sz="0" w:space="0" w:color="auto"/>
      </w:divBdr>
      <w:divsChild>
        <w:div w:id="652029678">
          <w:marLeft w:val="0"/>
          <w:marRight w:val="0"/>
          <w:marTop w:val="0"/>
          <w:marBottom w:val="0"/>
          <w:divBdr>
            <w:top w:val="none" w:sz="0" w:space="0" w:color="auto"/>
            <w:left w:val="none" w:sz="0" w:space="0" w:color="auto"/>
            <w:bottom w:val="none" w:sz="0" w:space="0" w:color="auto"/>
            <w:right w:val="none" w:sz="0" w:space="0" w:color="auto"/>
          </w:divBdr>
        </w:div>
      </w:divsChild>
    </w:div>
    <w:div w:id="169829905">
      <w:bodyDiv w:val="1"/>
      <w:marLeft w:val="0"/>
      <w:marRight w:val="0"/>
      <w:marTop w:val="0"/>
      <w:marBottom w:val="0"/>
      <w:divBdr>
        <w:top w:val="none" w:sz="0" w:space="0" w:color="auto"/>
        <w:left w:val="none" w:sz="0" w:space="0" w:color="auto"/>
        <w:bottom w:val="none" w:sz="0" w:space="0" w:color="auto"/>
        <w:right w:val="none" w:sz="0" w:space="0" w:color="auto"/>
      </w:divBdr>
    </w:div>
    <w:div w:id="199360813">
      <w:bodyDiv w:val="1"/>
      <w:marLeft w:val="0"/>
      <w:marRight w:val="0"/>
      <w:marTop w:val="0"/>
      <w:marBottom w:val="0"/>
      <w:divBdr>
        <w:top w:val="none" w:sz="0" w:space="0" w:color="auto"/>
        <w:left w:val="none" w:sz="0" w:space="0" w:color="auto"/>
        <w:bottom w:val="none" w:sz="0" w:space="0" w:color="auto"/>
        <w:right w:val="none" w:sz="0" w:space="0" w:color="auto"/>
      </w:divBdr>
    </w:div>
    <w:div w:id="398329833">
      <w:bodyDiv w:val="1"/>
      <w:marLeft w:val="0"/>
      <w:marRight w:val="0"/>
      <w:marTop w:val="0"/>
      <w:marBottom w:val="0"/>
      <w:divBdr>
        <w:top w:val="none" w:sz="0" w:space="0" w:color="auto"/>
        <w:left w:val="none" w:sz="0" w:space="0" w:color="auto"/>
        <w:bottom w:val="none" w:sz="0" w:space="0" w:color="auto"/>
        <w:right w:val="none" w:sz="0" w:space="0" w:color="auto"/>
      </w:divBdr>
    </w:div>
    <w:div w:id="758018300">
      <w:bodyDiv w:val="1"/>
      <w:marLeft w:val="0"/>
      <w:marRight w:val="0"/>
      <w:marTop w:val="0"/>
      <w:marBottom w:val="0"/>
      <w:divBdr>
        <w:top w:val="none" w:sz="0" w:space="0" w:color="auto"/>
        <w:left w:val="none" w:sz="0" w:space="0" w:color="auto"/>
        <w:bottom w:val="none" w:sz="0" w:space="0" w:color="auto"/>
        <w:right w:val="none" w:sz="0" w:space="0" w:color="auto"/>
      </w:divBdr>
    </w:div>
    <w:div w:id="818690212">
      <w:bodyDiv w:val="1"/>
      <w:marLeft w:val="0"/>
      <w:marRight w:val="0"/>
      <w:marTop w:val="0"/>
      <w:marBottom w:val="0"/>
      <w:divBdr>
        <w:top w:val="none" w:sz="0" w:space="0" w:color="auto"/>
        <w:left w:val="none" w:sz="0" w:space="0" w:color="auto"/>
        <w:bottom w:val="none" w:sz="0" w:space="0" w:color="auto"/>
        <w:right w:val="none" w:sz="0" w:space="0" w:color="auto"/>
      </w:divBdr>
    </w:div>
    <w:div w:id="940262948">
      <w:bodyDiv w:val="1"/>
      <w:marLeft w:val="0"/>
      <w:marRight w:val="0"/>
      <w:marTop w:val="0"/>
      <w:marBottom w:val="0"/>
      <w:divBdr>
        <w:top w:val="none" w:sz="0" w:space="0" w:color="auto"/>
        <w:left w:val="none" w:sz="0" w:space="0" w:color="auto"/>
        <w:bottom w:val="none" w:sz="0" w:space="0" w:color="auto"/>
        <w:right w:val="none" w:sz="0" w:space="0" w:color="auto"/>
      </w:divBdr>
      <w:divsChild>
        <w:div w:id="679161017">
          <w:marLeft w:val="0"/>
          <w:marRight w:val="0"/>
          <w:marTop w:val="0"/>
          <w:marBottom w:val="0"/>
          <w:divBdr>
            <w:top w:val="none" w:sz="0" w:space="0" w:color="auto"/>
            <w:left w:val="none" w:sz="0" w:space="0" w:color="auto"/>
            <w:bottom w:val="none" w:sz="0" w:space="0" w:color="auto"/>
            <w:right w:val="none" w:sz="0" w:space="0" w:color="auto"/>
          </w:divBdr>
        </w:div>
      </w:divsChild>
    </w:div>
    <w:div w:id="1041130232">
      <w:bodyDiv w:val="1"/>
      <w:marLeft w:val="0"/>
      <w:marRight w:val="0"/>
      <w:marTop w:val="0"/>
      <w:marBottom w:val="0"/>
      <w:divBdr>
        <w:top w:val="none" w:sz="0" w:space="0" w:color="auto"/>
        <w:left w:val="none" w:sz="0" w:space="0" w:color="auto"/>
        <w:bottom w:val="none" w:sz="0" w:space="0" w:color="auto"/>
        <w:right w:val="none" w:sz="0" w:space="0" w:color="auto"/>
      </w:divBdr>
    </w:div>
    <w:div w:id="1289162530">
      <w:bodyDiv w:val="1"/>
      <w:marLeft w:val="0"/>
      <w:marRight w:val="0"/>
      <w:marTop w:val="0"/>
      <w:marBottom w:val="0"/>
      <w:divBdr>
        <w:top w:val="none" w:sz="0" w:space="0" w:color="auto"/>
        <w:left w:val="none" w:sz="0" w:space="0" w:color="auto"/>
        <w:bottom w:val="none" w:sz="0" w:space="0" w:color="auto"/>
        <w:right w:val="none" w:sz="0" w:space="0" w:color="auto"/>
      </w:divBdr>
      <w:divsChild>
        <w:div w:id="152726094">
          <w:marLeft w:val="0"/>
          <w:marRight w:val="0"/>
          <w:marTop w:val="0"/>
          <w:marBottom w:val="0"/>
          <w:divBdr>
            <w:top w:val="none" w:sz="0" w:space="0" w:color="auto"/>
            <w:left w:val="none" w:sz="0" w:space="0" w:color="auto"/>
            <w:bottom w:val="none" w:sz="0" w:space="0" w:color="auto"/>
            <w:right w:val="none" w:sz="0" w:space="0" w:color="auto"/>
          </w:divBdr>
        </w:div>
      </w:divsChild>
    </w:div>
    <w:div w:id="1345210118">
      <w:bodyDiv w:val="1"/>
      <w:marLeft w:val="0"/>
      <w:marRight w:val="0"/>
      <w:marTop w:val="0"/>
      <w:marBottom w:val="0"/>
      <w:divBdr>
        <w:top w:val="none" w:sz="0" w:space="0" w:color="auto"/>
        <w:left w:val="none" w:sz="0" w:space="0" w:color="auto"/>
        <w:bottom w:val="none" w:sz="0" w:space="0" w:color="auto"/>
        <w:right w:val="none" w:sz="0" w:space="0" w:color="auto"/>
      </w:divBdr>
    </w:div>
    <w:div w:id="1422793679">
      <w:bodyDiv w:val="1"/>
      <w:marLeft w:val="0"/>
      <w:marRight w:val="0"/>
      <w:marTop w:val="0"/>
      <w:marBottom w:val="0"/>
      <w:divBdr>
        <w:top w:val="none" w:sz="0" w:space="0" w:color="auto"/>
        <w:left w:val="none" w:sz="0" w:space="0" w:color="auto"/>
        <w:bottom w:val="none" w:sz="0" w:space="0" w:color="auto"/>
        <w:right w:val="none" w:sz="0" w:space="0" w:color="auto"/>
      </w:divBdr>
    </w:div>
    <w:div w:id="1437948827">
      <w:bodyDiv w:val="1"/>
      <w:marLeft w:val="0"/>
      <w:marRight w:val="0"/>
      <w:marTop w:val="0"/>
      <w:marBottom w:val="0"/>
      <w:divBdr>
        <w:top w:val="none" w:sz="0" w:space="0" w:color="auto"/>
        <w:left w:val="none" w:sz="0" w:space="0" w:color="auto"/>
        <w:bottom w:val="none" w:sz="0" w:space="0" w:color="auto"/>
        <w:right w:val="none" w:sz="0" w:space="0" w:color="auto"/>
      </w:divBdr>
    </w:div>
    <w:div w:id="1499492794">
      <w:bodyDiv w:val="1"/>
      <w:marLeft w:val="0"/>
      <w:marRight w:val="0"/>
      <w:marTop w:val="0"/>
      <w:marBottom w:val="0"/>
      <w:divBdr>
        <w:top w:val="none" w:sz="0" w:space="0" w:color="auto"/>
        <w:left w:val="none" w:sz="0" w:space="0" w:color="auto"/>
        <w:bottom w:val="none" w:sz="0" w:space="0" w:color="auto"/>
        <w:right w:val="none" w:sz="0" w:space="0" w:color="auto"/>
      </w:divBdr>
    </w:div>
    <w:div w:id="1533568295">
      <w:bodyDiv w:val="1"/>
      <w:marLeft w:val="0"/>
      <w:marRight w:val="0"/>
      <w:marTop w:val="0"/>
      <w:marBottom w:val="0"/>
      <w:divBdr>
        <w:top w:val="none" w:sz="0" w:space="0" w:color="auto"/>
        <w:left w:val="none" w:sz="0" w:space="0" w:color="auto"/>
        <w:bottom w:val="none" w:sz="0" w:space="0" w:color="auto"/>
        <w:right w:val="none" w:sz="0" w:space="0" w:color="auto"/>
      </w:divBdr>
      <w:divsChild>
        <w:div w:id="1084691353">
          <w:marLeft w:val="0"/>
          <w:marRight w:val="0"/>
          <w:marTop w:val="0"/>
          <w:marBottom w:val="82"/>
          <w:divBdr>
            <w:top w:val="single" w:sz="6" w:space="0" w:color="D3D3D3"/>
            <w:left w:val="single" w:sz="6" w:space="0" w:color="D3D3D3"/>
            <w:bottom w:val="single" w:sz="6" w:space="0" w:color="D3D3D3"/>
            <w:right w:val="single" w:sz="6" w:space="0" w:color="D3D3D3"/>
          </w:divBdr>
          <w:divsChild>
            <w:div w:id="1644430508">
              <w:marLeft w:val="68"/>
              <w:marRight w:val="68"/>
              <w:marTop w:val="0"/>
              <w:marBottom w:val="0"/>
              <w:divBdr>
                <w:top w:val="none" w:sz="0" w:space="0" w:color="auto"/>
                <w:left w:val="none" w:sz="0" w:space="0" w:color="auto"/>
                <w:bottom w:val="none" w:sz="0" w:space="0" w:color="auto"/>
                <w:right w:val="none" w:sz="0" w:space="0" w:color="auto"/>
              </w:divBdr>
              <w:divsChild>
                <w:div w:id="1893349579">
                  <w:marLeft w:val="0"/>
                  <w:marRight w:val="0"/>
                  <w:marTop w:val="0"/>
                  <w:marBottom w:val="0"/>
                  <w:divBdr>
                    <w:top w:val="none" w:sz="0" w:space="0" w:color="auto"/>
                    <w:left w:val="none" w:sz="0" w:space="0" w:color="auto"/>
                    <w:bottom w:val="none" w:sz="0" w:space="0" w:color="auto"/>
                    <w:right w:val="none" w:sz="0" w:space="0" w:color="auto"/>
                  </w:divBdr>
                  <w:divsChild>
                    <w:div w:id="278150578">
                      <w:marLeft w:val="0"/>
                      <w:marRight w:val="0"/>
                      <w:marTop w:val="0"/>
                      <w:marBottom w:val="0"/>
                      <w:divBdr>
                        <w:top w:val="none" w:sz="0" w:space="0" w:color="auto"/>
                        <w:left w:val="none" w:sz="0" w:space="0" w:color="auto"/>
                        <w:bottom w:val="none" w:sz="0" w:space="0" w:color="auto"/>
                        <w:right w:val="none" w:sz="0" w:space="0" w:color="auto"/>
                      </w:divBdr>
                      <w:divsChild>
                        <w:div w:id="20672830">
                          <w:marLeft w:val="0"/>
                          <w:marRight w:val="0"/>
                          <w:marTop w:val="0"/>
                          <w:marBottom w:val="0"/>
                          <w:divBdr>
                            <w:top w:val="none" w:sz="0" w:space="0" w:color="auto"/>
                            <w:left w:val="none" w:sz="0" w:space="0" w:color="auto"/>
                            <w:bottom w:val="none" w:sz="0" w:space="0" w:color="auto"/>
                            <w:right w:val="none" w:sz="0" w:space="0" w:color="auto"/>
                          </w:divBdr>
                          <w:divsChild>
                            <w:div w:id="1012683358">
                              <w:marLeft w:val="0"/>
                              <w:marRight w:val="0"/>
                              <w:marTop w:val="0"/>
                              <w:marBottom w:val="0"/>
                              <w:divBdr>
                                <w:top w:val="none" w:sz="0" w:space="0" w:color="auto"/>
                                <w:left w:val="none" w:sz="0" w:space="0" w:color="auto"/>
                                <w:bottom w:val="none" w:sz="0" w:space="0" w:color="auto"/>
                                <w:right w:val="none" w:sz="0" w:space="0" w:color="auto"/>
                              </w:divBdr>
                              <w:divsChild>
                                <w:div w:id="319431023">
                                  <w:marLeft w:val="0"/>
                                  <w:marRight w:val="0"/>
                                  <w:marTop w:val="0"/>
                                  <w:marBottom w:val="0"/>
                                  <w:divBdr>
                                    <w:top w:val="none" w:sz="0" w:space="0" w:color="auto"/>
                                    <w:left w:val="none" w:sz="0" w:space="0" w:color="auto"/>
                                    <w:bottom w:val="none" w:sz="0" w:space="0" w:color="auto"/>
                                    <w:right w:val="none" w:sz="0" w:space="0" w:color="auto"/>
                                  </w:divBdr>
                                  <w:divsChild>
                                    <w:div w:id="68309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0422933">
          <w:marLeft w:val="0"/>
          <w:marRight w:val="0"/>
          <w:marTop w:val="0"/>
          <w:marBottom w:val="82"/>
          <w:divBdr>
            <w:top w:val="single" w:sz="6" w:space="0" w:color="D3D3D3"/>
            <w:left w:val="single" w:sz="6" w:space="0" w:color="D3D3D3"/>
            <w:bottom w:val="single" w:sz="6" w:space="0" w:color="D3D3D3"/>
            <w:right w:val="single" w:sz="6" w:space="0" w:color="D3D3D3"/>
          </w:divBdr>
          <w:divsChild>
            <w:div w:id="1662393517">
              <w:marLeft w:val="68"/>
              <w:marRight w:val="68"/>
              <w:marTop w:val="0"/>
              <w:marBottom w:val="0"/>
              <w:divBdr>
                <w:top w:val="none" w:sz="0" w:space="0" w:color="auto"/>
                <w:left w:val="none" w:sz="0" w:space="0" w:color="auto"/>
                <w:bottom w:val="none" w:sz="0" w:space="0" w:color="auto"/>
                <w:right w:val="none" w:sz="0" w:space="0" w:color="auto"/>
              </w:divBdr>
              <w:divsChild>
                <w:div w:id="1281692362">
                  <w:marLeft w:val="0"/>
                  <w:marRight w:val="0"/>
                  <w:marTop w:val="0"/>
                  <w:marBottom w:val="0"/>
                  <w:divBdr>
                    <w:top w:val="none" w:sz="0" w:space="0" w:color="auto"/>
                    <w:left w:val="none" w:sz="0" w:space="0" w:color="auto"/>
                    <w:bottom w:val="none" w:sz="0" w:space="0" w:color="auto"/>
                    <w:right w:val="none" w:sz="0" w:space="0" w:color="auto"/>
                  </w:divBdr>
                  <w:divsChild>
                    <w:div w:id="1662343750">
                      <w:marLeft w:val="0"/>
                      <w:marRight w:val="0"/>
                      <w:marTop w:val="0"/>
                      <w:marBottom w:val="0"/>
                      <w:divBdr>
                        <w:top w:val="none" w:sz="0" w:space="0" w:color="auto"/>
                        <w:left w:val="none" w:sz="0" w:space="0" w:color="auto"/>
                        <w:bottom w:val="none" w:sz="0" w:space="0" w:color="auto"/>
                        <w:right w:val="none" w:sz="0" w:space="0" w:color="auto"/>
                      </w:divBdr>
                      <w:divsChild>
                        <w:div w:id="1480145867">
                          <w:marLeft w:val="0"/>
                          <w:marRight w:val="0"/>
                          <w:marTop w:val="0"/>
                          <w:marBottom w:val="0"/>
                          <w:divBdr>
                            <w:top w:val="none" w:sz="0" w:space="0" w:color="auto"/>
                            <w:left w:val="none" w:sz="0" w:space="0" w:color="auto"/>
                            <w:bottom w:val="none" w:sz="0" w:space="0" w:color="auto"/>
                            <w:right w:val="none" w:sz="0" w:space="0" w:color="auto"/>
                          </w:divBdr>
                          <w:divsChild>
                            <w:div w:id="1820728154">
                              <w:marLeft w:val="0"/>
                              <w:marRight w:val="0"/>
                              <w:marTop w:val="0"/>
                              <w:marBottom w:val="0"/>
                              <w:divBdr>
                                <w:top w:val="none" w:sz="0" w:space="0" w:color="auto"/>
                                <w:left w:val="none" w:sz="0" w:space="0" w:color="auto"/>
                                <w:bottom w:val="none" w:sz="0" w:space="0" w:color="auto"/>
                                <w:right w:val="none" w:sz="0" w:space="0" w:color="auto"/>
                              </w:divBdr>
                              <w:divsChild>
                                <w:div w:id="300234772">
                                  <w:marLeft w:val="0"/>
                                  <w:marRight w:val="0"/>
                                  <w:marTop w:val="0"/>
                                  <w:marBottom w:val="0"/>
                                  <w:divBdr>
                                    <w:top w:val="none" w:sz="0" w:space="0" w:color="auto"/>
                                    <w:left w:val="none" w:sz="0" w:space="0" w:color="auto"/>
                                    <w:bottom w:val="none" w:sz="0" w:space="0" w:color="auto"/>
                                    <w:right w:val="none" w:sz="0" w:space="0" w:color="auto"/>
                                  </w:divBdr>
                                  <w:divsChild>
                                    <w:div w:id="173751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162832">
          <w:marLeft w:val="0"/>
          <w:marRight w:val="0"/>
          <w:marTop w:val="0"/>
          <w:marBottom w:val="82"/>
          <w:divBdr>
            <w:top w:val="single" w:sz="6" w:space="0" w:color="D3D3D3"/>
            <w:left w:val="single" w:sz="6" w:space="0" w:color="D3D3D3"/>
            <w:bottom w:val="single" w:sz="6" w:space="0" w:color="D3D3D3"/>
            <w:right w:val="single" w:sz="6" w:space="0" w:color="D3D3D3"/>
          </w:divBdr>
          <w:divsChild>
            <w:div w:id="2065248262">
              <w:marLeft w:val="68"/>
              <w:marRight w:val="68"/>
              <w:marTop w:val="0"/>
              <w:marBottom w:val="0"/>
              <w:divBdr>
                <w:top w:val="none" w:sz="0" w:space="0" w:color="auto"/>
                <w:left w:val="none" w:sz="0" w:space="0" w:color="auto"/>
                <w:bottom w:val="none" w:sz="0" w:space="0" w:color="auto"/>
                <w:right w:val="none" w:sz="0" w:space="0" w:color="auto"/>
              </w:divBdr>
              <w:divsChild>
                <w:div w:id="1384528069">
                  <w:marLeft w:val="0"/>
                  <w:marRight w:val="0"/>
                  <w:marTop w:val="0"/>
                  <w:marBottom w:val="0"/>
                  <w:divBdr>
                    <w:top w:val="none" w:sz="0" w:space="0" w:color="auto"/>
                    <w:left w:val="none" w:sz="0" w:space="0" w:color="auto"/>
                    <w:bottom w:val="none" w:sz="0" w:space="0" w:color="auto"/>
                    <w:right w:val="none" w:sz="0" w:space="0" w:color="auto"/>
                  </w:divBdr>
                  <w:divsChild>
                    <w:div w:id="1544905096">
                      <w:marLeft w:val="0"/>
                      <w:marRight w:val="0"/>
                      <w:marTop w:val="0"/>
                      <w:marBottom w:val="0"/>
                      <w:divBdr>
                        <w:top w:val="none" w:sz="0" w:space="0" w:color="auto"/>
                        <w:left w:val="none" w:sz="0" w:space="0" w:color="auto"/>
                        <w:bottom w:val="none" w:sz="0" w:space="0" w:color="auto"/>
                        <w:right w:val="none" w:sz="0" w:space="0" w:color="auto"/>
                      </w:divBdr>
                      <w:divsChild>
                        <w:div w:id="1865631895">
                          <w:marLeft w:val="0"/>
                          <w:marRight w:val="0"/>
                          <w:marTop w:val="0"/>
                          <w:marBottom w:val="0"/>
                          <w:divBdr>
                            <w:top w:val="none" w:sz="0" w:space="0" w:color="auto"/>
                            <w:left w:val="none" w:sz="0" w:space="0" w:color="auto"/>
                            <w:bottom w:val="none" w:sz="0" w:space="0" w:color="auto"/>
                            <w:right w:val="none" w:sz="0" w:space="0" w:color="auto"/>
                          </w:divBdr>
                          <w:divsChild>
                            <w:div w:id="368651083">
                              <w:marLeft w:val="0"/>
                              <w:marRight w:val="0"/>
                              <w:marTop w:val="0"/>
                              <w:marBottom w:val="0"/>
                              <w:divBdr>
                                <w:top w:val="none" w:sz="0" w:space="0" w:color="auto"/>
                                <w:left w:val="none" w:sz="0" w:space="0" w:color="auto"/>
                                <w:bottom w:val="none" w:sz="0" w:space="0" w:color="auto"/>
                                <w:right w:val="none" w:sz="0" w:space="0" w:color="auto"/>
                              </w:divBdr>
                              <w:divsChild>
                                <w:div w:id="1451322916">
                                  <w:marLeft w:val="0"/>
                                  <w:marRight w:val="0"/>
                                  <w:marTop w:val="0"/>
                                  <w:marBottom w:val="0"/>
                                  <w:divBdr>
                                    <w:top w:val="none" w:sz="0" w:space="0" w:color="auto"/>
                                    <w:left w:val="none" w:sz="0" w:space="0" w:color="auto"/>
                                    <w:bottom w:val="none" w:sz="0" w:space="0" w:color="auto"/>
                                    <w:right w:val="none" w:sz="0" w:space="0" w:color="auto"/>
                                  </w:divBdr>
                                  <w:divsChild>
                                    <w:div w:id="163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290217">
          <w:marLeft w:val="0"/>
          <w:marRight w:val="0"/>
          <w:marTop w:val="0"/>
          <w:marBottom w:val="82"/>
          <w:divBdr>
            <w:top w:val="single" w:sz="6" w:space="0" w:color="D3D3D3"/>
            <w:left w:val="single" w:sz="6" w:space="0" w:color="D3D3D3"/>
            <w:bottom w:val="single" w:sz="6" w:space="0" w:color="D3D3D3"/>
            <w:right w:val="single" w:sz="6" w:space="0" w:color="D3D3D3"/>
          </w:divBdr>
          <w:divsChild>
            <w:div w:id="329649496">
              <w:marLeft w:val="68"/>
              <w:marRight w:val="68"/>
              <w:marTop w:val="0"/>
              <w:marBottom w:val="0"/>
              <w:divBdr>
                <w:top w:val="none" w:sz="0" w:space="0" w:color="auto"/>
                <w:left w:val="none" w:sz="0" w:space="0" w:color="auto"/>
                <w:bottom w:val="none" w:sz="0" w:space="0" w:color="auto"/>
                <w:right w:val="none" w:sz="0" w:space="0" w:color="auto"/>
              </w:divBdr>
              <w:divsChild>
                <w:div w:id="1785538386">
                  <w:marLeft w:val="0"/>
                  <w:marRight w:val="0"/>
                  <w:marTop w:val="0"/>
                  <w:marBottom w:val="0"/>
                  <w:divBdr>
                    <w:top w:val="none" w:sz="0" w:space="0" w:color="auto"/>
                    <w:left w:val="none" w:sz="0" w:space="0" w:color="auto"/>
                    <w:bottom w:val="none" w:sz="0" w:space="0" w:color="auto"/>
                    <w:right w:val="none" w:sz="0" w:space="0" w:color="auto"/>
                  </w:divBdr>
                  <w:divsChild>
                    <w:div w:id="736786923">
                      <w:marLeft w:val="0"/>
                      <w:marRight w:val="0"/>
                      <w:marTop w:val="0"/>
                      <w:marBottom w:val="0"/>
                      <w:divBdr>
                        <w:top w:val="none" w:sz="0" w:space="0" w:color="auto"/>
                        <w:left w:val="none" w:sz="0" w:space="0" w:color="auto"/>
                        <w:bottom w:val="none" w:sz="0" w:space="0" w:color="auto"/>
                        <w:right w:val="none" w:sz="0" w:space="0" w:color="auto"/>
                      </w:divBdr>
                      <w:divsChild>
                        <w:div w:id="789586971">
                          <w:marLeft w:val="0"/>
                          <w:marRight w:val="0"/>
                          <w:marTop w:val="0"/>
                          <w:marBottom w:val="0"/>
                          <w:divBdr>
                            <w:top w:val="none" w:sz="0" w:space="0" w:color="auto"/>
                            <w:left w:val="none" w:sz="0" w:space="0" w:color="auto"/>
                            <w:bottom w:val="none" w:sz="0" w:space="0" w:color="auto"/>
                            <w:right w:val="none" w:sz="0" w:space="0" w:color="auto"/>
                          </w:divBdr>
                          <w:divsChild>
                            <w:div w:id="391391746">
                              <w:marLeft w:val="0"/>
                              <w:marRight w:val="0"/>
                              <w:marTop w:val="0"/>
                              <w:marBottom w:val="0"/>
                              <w:divBdr>
                                <w:top w:val="none" w:sz="0" w:space="0" w:color="auto"/>
                                <w:left w:val="none" w:sz="0" w:space="0" w:color="auto"/>
                                <w:bottom w:val="none" w:sz="0" w:space="0" w:color="auto"/>
                                <w:right w:val="none" w:sz="0" w:space="0" w:color="auto"/>
                              </w:divBdr>
                              <w:divsChild>
                                <w:div w:id="1972325699">
                                  <w:marLeft w:val="0"/>
                                  <w:marRight w:val="0"/>
                                  <w:marTop w:val="0"/>
                                  <w:marBottom w:val="0"/>
                                  <w:divBdr>
                                    <w:top w:val="none" w:sz="0" w:space="0" w:color="auto"/>
                                    <w:left w:val="none" w:sz="0" w:space="0" w:color="auto"/>
                                    <w:bottom w:val="none" w:sz="0" w:space="0" w:color="auto"/>
                                    <w:right w:val="none" w:sz="0" w:space="0" w:color="auto"/>
                                  </w:divBdr>
                                  <w:divsChild>
                                    <w:div w:id="206729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151922">
          <w:marLeft w:val="0"/>
          <w:marRight w:val="0"/>
          <w:marTop w:val="0"/>
          <w:marBottom w:val="82"/>
          <w:divBdr>
            <w:top w:val="single" w:sz="6" w:space="0" w:color="D3D3D3"/>
            <w:left w:val="single" w:sz="6" w:space="0" w:color="D3D3D3"/>
            <w:bottom w:val="single" w:sz="6" w:space="0" w:color="D3D3D3"/>
            <w:right w:val="single" w:sz="6" w:space="0" w:color="D3D3D3"/>
          </w:divBdr>
          <w:divsChild>
            <w:div w:id="1215195549">
              <w:marLeft w:val="68"/>
              <w:marRight w:val="68"/>
              <w:marTop w:val="0"/>
              <w:marBottom w:val="0"/>
              <w:divBdr>
                <w:top w:val="none" w:sz="0" w:space="0" w:color="auto"/>
                <w:left w:val="none" w:sz="0" w:space="0" w:color="auto"/>
                <w:bottom w:val="none" w:sz="0" w:space="0" w:color="auto"/>
                <w:right w:val="none" w:sz="0" w:space="0" w:color="auto"/>
              </w:divBdr>
              <w:divsChild>
                <w:div w:id="638388193">
                  <w:marLeft w:val="0"/>
                  <w:marRight w:val="0"/>
                  <w:marTop w:val="0"/>
                  <w:marBottom w:val="0"/>
                  <w:divBdr>
                    <w:top w:val="none" w:sz="0" w:space="0" w:color="auto"/>
                    <w:left w:val="none" w:sz="0" w:space="0" w:color="auto"/>
                    <w:bottom w:val="none" w:sz="0" w:space="0" w:color="auto"/>
                    <w:right w:val="none" w:sz="0" w:space="0" w:color="auto"/>
                  </w:divBdr>
                  <w:divsChild>
                    <w:div w:id="328095507">
                      <w:marLeft w:val="0"/>
                      <w:marRight w:val="0"/>
                      <w:marTop w:val="0"/>
                      <w:marBottom w:val="0"/>
                      <w:divBdr>
                        <w:top w:val="none" w:sz="0" w:space="0" w:color="auto"/>
                        <w:left w:val="none" w:sz="0" w:space="0" w:color="auto"/>
                        <w:bottom w:val="none" w:sz="0" w:space="0" w:color="auto"/>
                        <w:right w:val="none" w:sz="0" w:space="0" w:color="auto"/>
                      </w:divBdr>
                      <w:divsChild>
                        <w:div w:id="841167305">
                          <w:marLeft w:val="0"/>
                          <w:marRight w:val="0"/>
                          <w:marTop w:val="0"/>
                          <w:marBottom w:val="0"/>
                          <w:divBdr>
                            <w:top w:val="none" w:sz="0" w:space="0" w:color="auto"/>
                            <w:left w:val="none" w:sz="0" w:space="0" w:color="auto"/>
                            <w:bottom w:val="none" w:sz="0" w:space="0" w:color="auto"/>
                            <w:right w:val="none" w:sz="0" w:space="0" w:color="auto"/>
                          </w:divBdr>
                          <w:divsChild>
                            <w:div w:id="1589071272">
                              <w:marLeft w:val="0"/>
                              <w:marRight w:val="0"/>
                              <w:marTop w:val="0"/>
                              <w:marBottom w:val="0"/>
                              <w:divBdr>
                                <w:top w:val="none" w:sz="0" w:space="0" w:color="auto"/>
                                <w:left w:val="none" w:sz="0" w:space="0" w:color="auto"/>
                                <w:bottom w:val="none" w:sz="0" w:space="0" w:color="auto"/>
                                <w:right w:val="none" w:sz="0" w:space="0" w:color="auto"/>
                              </w:divBdr>
                              <w:divsChild>
                                <w:div w:id="1751655549">
                                  <w:marLeft w:val="0"/>
                                  <w:marRight w:val="0"/>
                                  <w:marTop w:val="0"/>
                                  <w:marBottom w:val="0"/>
                                  <w:divBdr>
                                    <w:top w:val="none" w:sz="0" w:space="0" w:color="auto"/>
                                    <w:left w:val="none" w:sz="0" w:space="0" w:color="auto"/>
                                    <w:bottom w:val="none" w:sz="0" w:space="0" w:color="auto"/>
                                    <w:right w:val="none" w:sz="0" w:space="0" w:color="auto"/>
                                  </w:divBdr>
                                  <w:divsChild>
                                    <w:div w:id="134309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1665763">
      <w:bodyDiv w:val="1"/>
      <w:marLeft w:val="0"/>
      <w:marRight w:val="0"/>
      <w:marTop w:val="0"/>
      <w:marBottom w:val="0"/>
      <w:divBdr>
        <w:top w:val="none" w:sz="0" w:space="0" w:color="auto"/>
        <w:left w:val="none" w:sz="0" w:space="0" w:color="auto"/>
        <w:bottom w:val="none" w:sz="0" w:space="0" w:color="auto"/>
        <w:right w:val="none" w:sz="0" w:space="0" w:color="auto"/>
      </w:divBdr>
    </w:div>
    <w:div w:id="1830828533">
      <w:bodyDiv w:val="1"/>
      <w:marLeft w:val="0"/>
      <w:marRight w:val="0"/>
      <w:marTop w:val="0"/>
      <w:marBottom w:val="0"/>
      <w:divBdr>
        <w:top w:val="none" w:sz="0" w:space="0" w:color="auto"/>
        <w:left w:val="none" w:sz="0" w:space="0" w:color="auto"/>
        <w:bottom w:val="none" w:sz="0" w:space="0" w:color="auto"/>
        <w:right w:val="none" w:sz="0" w:space="0" w:color="auto"/>
      </w:divBdr>
    </w:div>
    <w:div w:id="1920360467">
      <w:bodyDiv w:val="1"/>
      <w:marLeft w:val="0"/>
      <w:marRight w:val="0"/>
      <w:marTop w:val="0"/>
      <w:marBottom w:val="0"/>
      <w:divBdr>
        <w:top w:val="none" w:sz="0" w:space="0" w:color="auto"/>
        <w:left w:val="none" w:sz="0" w:space="0" w:color="auto"/>
        <w:bottom w:val="none" w:sz="0" w:space="0" w:color="auto"/>
        <w:right w:val="none" w:sz="0" w:space="0" w:color="auto"/>
      </w:divBdr>
    </w:div>
    <w:div w:id="1933201832">
      <w:bodyDiv w:val="1"/>
      <w:marLeft w:val="0"/>
      <w:marRight w:val="0"/>
      <w:marTop w:val="0"/>
      <w:marBottom w:val="0"/>
      <w:divBdr>
        <w:top w:val="none" w:sz="0" w:space="0" w:color="auto"/>
        <w:left w:val="none" w:sz="0" w:space="0" w:color="auto"/>
        <w:bottom w:val="none" w:sz="0" w:space="0" w:color="auto"/>
        <w:right w:val="none" w:sz="0" w:space="0" w:color="auto"/>
      </w:divBdr>
    </w:div>
    <w:div w:id="1971474059">
      <w:bodyDiv w:val="1"/>
      <w:marLeft w:val="0"/>
      <w:marRight w:val="0"/>
      <w:marTop w:val="0"/>
      <w:marBottom w:val="0"/>
      <w:divBdr>
        <w:top w:val="none" w:sz="0" w:space="0" w:color="auto"/>
        <w:left w:val="none" w:sz="0" w:space="0" w:color="auto"/>
        <w:bottom w:val="none" w:sz="0" w:space="0" w:color="auto"/>
        <w:right w:val="none" w:sz="0" w:space="0" w:color="auto"/>
      </w:divBdr>
    </w:div>
    <w:div w:id="2076659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E3EF39-42F5-4335-9E48-D35CD07A0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1280</Words>
  <Characters>7296</Characters>
  <Application>Microsoft Office Word</Application>
  <DocSecurity>0</DocSecurity>
  <Lines>60</Lines>
  <Paragraphs>17</Paragraphs>
  <ScaleCrop>false</ScaleCrop>
  <Company/>
  <LinksUpToDate>false</LinksUpToDate>
  <CharactersWithSpaces>8559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用户</dc:creator>
  <cp:lastModifiedBy>lenovo</cp:lastModifiedBy>
  <cp:revision>22</cp:revision>
  <dcterms:created xsi:type="dcterms:W3CDTF">2014-07-23T06:59:00Z</dcterms:created>
  <dcterms:modified xsi:type="dcterms:W3CDTF">2018-10-19T01:28:00Z</dcterms:modified>
</cp:coreProperties>
</file>